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6.4.0 -->
  <w:body>
    <w:p>
      <w:pPr>
        <w:sectPr>
          <w:headerReference w:type="default" r:id="rId4"/>
          <w:footerReference w:type="default" r:id="rId5"/>
          <w:footerReference w:type="first" r:id="rId6"/>
          <w:pgSz w:w="12240" w:h="15840"/>
          <w:pgMar w:top="840" w:right="1000" w:bottom="840" w:left="1000" w:header="400" w:footer="400"/>
          <w:pgNumType w:fmt="decimal"/>
          <w:cols w:space="720"/>
          <w:titlePg/>
        </w:sectPr>
      </w:pPr>
    </w:p>
    <w:p>
      <w:pPr>
        <w:pStyle w:val="Heading1"/>
        <w:keepNext w:val="0"/>
        <w:spacing w:before="0" w:after="60" w:line="340" w:lineRule="atLeast"/>
        <w:ind w:left="120" w:right="0" w:firstLine="0"/>
        <w:jc w:val="center"/>
      </w:pPr>
      <w:r>
        <w:rPr>
          <w:rFonts w:ascii="arial" w:eastAsia="arial" w:hAnsi="arial" w:cs="arial"/>
          <w:b/>
          <w:i w:val="0"/>
          <w:strike w:val="0"/>
          <w:noProof w:val="0"/>
          <w:color w:val="0077CC"/>
          <w:position w:val="0"/>
          <w:sz w:val="28"/>
          <w:u w:val="none"/>
          <w:vertAlign w:val="baseline"/>
        </w:rPr>
        <w:t>Arrangement of the Supreme People's Court concerning Entrusting Each Other to Serve Judicial Documents and Obtain Evidence in Civil and Commercial Cases by the Courts of the Mainland and of the Macao Special Administrative Region (Revised in 2020)</w:t>
      </w:r>
    </w:p>
    <w:p/>
    <w:p>
      <w:pPr>
        <w:keepNext w:val="0"/>
        <w:spacing w:before="120" w:after="0" w:line="260" w:lineRule="atLeast"/>
        <w:ind w:left="0" w:right="0" w:firstLine="0"/>
        <w:jc w:val="left"/>
      </w:pPr>
      <w:r>
        <w:rPr>
          <w:rFonts w:ascii="arial" w:eastAsia="arial" w:hAnsi="arial" w:cs="arial"/>
          <w:b w:val="0"/>
          <w:i w:val="0"/>
          <w:strike w:val="0"/>
          <w:noProof w:val="0"/>
          <w:color w:val="000000"/>
          <w:position w:val="0"/>
          <w:sz w:val="20"/>
          <w:u w:val="none"/>
          <w:vertAlign w:val="baseline"/>
        </w:rPr>
        <w:t>Judicial Interpretations | Supreme People's Court</w:t>
      </w:r>
    </w:p>
    <w:p>
      <w:pPr>
        <w:keepNext w:val="0"/>
        <w:spacing w:before="120" w:after="0" w:line="260" w:lineRule="atLeast"/>
        <w:ind w:left="0" w:right="0" w:firstLine="0"/>
        <w:jc w:val="left"/>
      </w:pPr>
      <w:r>
        <w:br/>
      </w:r>
      <w:r>
        <w:rPr>
          <w:rFonts w:ascii="arial" w:eastAsia="arial" w:hAnsi="arial" w:cs="arial"/>
          <w:b w:val="0"/>
          <w:i w:val="0"/>
          <w:strike w:val="0"/>
          <w:noProof w:val="0"/>
          <w:color w:val="000000"/>
          <w:position w:val="0"/>
          <w:sz w:val="20"/>
          <w:u w:val="none"/>
          <w:vertAlign w:val="baseline"/>
        </w:rPr>
        <w:t>Fa Shi [2020] No.1 | 2020-01-14 Issued | 2020-03-01 In force</w:t>
      </w:r>
    </w:p>
    <w:p/>
    <w:p>
      <w:pPr>
        <w:keepNext w:val="0"/>
        <w:spacing w:before="12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Arrangement of the Supreme People's Court concerning Entrusting Each Other to Serve Judicial Documents and Obtain Evidence in Civil and Commercial Cases by the Courts of the Mainland and of the Macao Special Administrative Region (Revised in 2020)</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Fa Shi [2020] No.1</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January 14, 2020</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(Adopted at the 1,186th meeting of the Judicial Committee of the Supreme People's Court on August 7, 2001, and amended in accordance with the Decision of the Supreme People's Court on Revising the Arrangement concerning Entrusting Each Other to Serve Judicial Documents and Obtain Evidence in Civil and Commercial Cases by the Courts of the Mainland and of the Macao Special Administrative Region adopted at the 1,790th meeting of the Judicial Committee of the Supreme People's Court on December 30, 2019, which shall come into force as of March 1, 2020)</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According to Article 93 of the Basic Law of the Macao Special Administrative Region of the People's Republic of China, the Supreme People's Court ("SPC") and the Macao Special Administrative Region, upon negotiation, hereby provide courts of the Mainland and of the Macao Special Administrative Region which entrust each other to serve judicial documents and obtaining evidence in civil and commercial cases as below:</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I. General Provisions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 The Arrangement applies to courts of the Mainland and of the Macao Special Administrative Region which entrust each other to serve judicial documents and obtaining evidences in civil and commercial cases (including labor dispute cases on the Mainland, and civil labor cases in the Macao Special Administrative Region).</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 Both parties shall entrust each other to serve judicial documents and obtain evidence through a higher people's court and the Court of Final Appeal of the Macao Special Administrative Region. The SPC and the Court of Final Appeal of the Macao Special Administrative Region may directly entrust each other to serve and obtain evidence.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Upon negotiation with the Court of Final Appeal of the Macao Special Administrative Region, the SPC may authorize some intermediate people's courts, primary people's courts and the Court of Final Appeal of the Macao Special Administrative Region to entrust each other to serve and obtain evidence.</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 Where the courts of the Mainland and of the Macao Special Administrative Region entrust each other to serve judicial documents and obtain evidence, the relevant documents and information shall be transmitted and forwarded electronically through the Mainland-Macao judicial assistance network platform; if this is impossible, the means of mailing may be adopted.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Documents such as judicial documents and evidential materials transmitted and forwarded electronically through the judicial assistance network platform shall be kept complete, authentic and unchangeable.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Documents such as judicial documents and evidential materials transmitted and forwarded electronically through the judicial assistance network platform shall have the same legal force as the originals thereof.</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4 After receiving the power of attorney of the other party, a higher people's court or the Court of Final Appeal of the Macao Special Administrative Region shall immediately forward the power of attorney, and judicial documents and other relevant documents attached to it to the court entitled to deal with the entrusted matter according to the legal provisions of its jurisdiction.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the entrusted court finds that the materials or information about the entrusted matter are or is incomplete, thereby affecting its completion of the entrusted matter, it shall responsively notify the entrusting court to supplement such materials or provide explanations.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an authorized intermediate people's court or primary people's court deems that it is not within the jurisdiction thereof after receiving the power of attorney from the Court of Final Appeal of the Macao Special Administrative Region, it shall apply to the higher people's court for treatment.</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5 The power of attorney shall be executed in Chinese. Where any judicial document or any other relevant document attached does not have a Chinese version, the Chinese translation shall be provided.</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6 An entrusting court shall make a request for entrustment within a reasonable period, to ensure that the entrusted court can handle the entrusted matter in due time after receiving the power of attorney.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entrusted court shall priorly handle the entrusted matter. The service of documents shall not exceed two months from the date of receipt of the power of attorney, and the obtaining of evidence shall not exceed three months from the date of receipt of the power of attorney.</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7 An entrusted court shall implement the entrusted matter according to the laws within its jurisdiction. Where the entrusting court requests the implementation of the entrusted matter in a special way, and the entrusted court deems there to be no violation of any law within its jurisdiction, the latter may implement the entrusted matter in the special way.</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8 An entrusting court does not need to pay expenses and taxes incurred when an entrusted court serves judicial documents and obtains evidence. However, the entrusted court shall be entitled to, according to the laws within its jurisdiction and in obtaining evidence, require the entrusting court to prepay the expenses for any appraiser, witness and translator as well as expenses incurred in serving judicial documents and obtaining evidence in the special way as requested by the entrusting court under the power of attorney.</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9 After receiving the power of attorney, an entrusted court shall not refuse to implement the entrusted matter for the reason that the entrusting court enjoys exclusive jurisdiction over the relevant civil or commercial case tried by it according to the laws within its jurisdiction or the entrusted court does not admit its right to file a lawsuit about the matter under the request.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an entrusted court finds when implementing the entrusted matter that the said matter is not within the scope of functions of the powers thereof, or a court of the Mainland believes that the implementation of the said matter on the Mainland will breach its basic legal principles or public interests, or a court of the Macao Special Administrative Region believes that the implementation of the said matter in the Macao Special Administrative Region will breach its basic legal principles or public order, the entrusted court, the court of the Mainland or the court of the Macao Special Administrative Region may not implement the matter, provided that it shall provide a written explanation on no implementation to the entrusting court in a timely way.</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II. Service of Judicial Documents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10 An entrusting court, requesting the service of judicial documents, shall issue the power of attorney with its seal or the signature of the judge affixed, and specify under the power of attorney the name of the entrusting authority, name of the addressee, detailed address and nature of the case. Where an entrusting court requests the service in a special way or there is any matter needing special attention, it shall indicate the same in the power of attorney.</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11 In the case of entrustment by mail, the power of attorney and judicial documents and other relevant documents attached thereto shall be executed in two counterparts. If there are two or more addressees, each of them shall have two counterparts.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12 After the completion of service of judicial documents, a court of the Mainland shall issue a receipt of service; a court of the Macao Special Administrative Region shall issue proof of service. The issued receipt of service and proof of service shall indicate the service method, place and date as well as identity of the addressee of judicial documents, and be affixed with the seal of the court.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an entrusted court cannot serve judicial documents, it shall specify the reason for failure of service, reason for refusal and date on the receipt of service or proof of service, and give a written reply to the entrusting court in due time.</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13 No matter whether the court date or period set out in the judicial documents of an entrusting court has expired or not, the entrusted court shall serve such documents.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14 An entrusted court shall not be legally liable for contents and consequences of judicial documents and relevant documents attached thereto with the service entrusted by an entrusting court.</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15 For the purpose of the Arrangement, on the Mainland, judicial documents include: duplicate of statement of complaint, duplicate of appellate petition, duplicate of counter pleadings, duplicate of pleadings, power of attorney, summons, written judgment, written mediation, written verdict, payment order, letter of decision, notice, certificate, receipt of service as well as other judicial documents and relevant documents attached thereto; in the Macao Special Administrative Region, judicial documents include: duplicate of statement of complaint, duplicate of pleadings, duplicate of counter pleadings, duplicate of appellate petition, written statement, written plea, statement of dissent, written contradiction, application form, written withdrawal, letter of recognition, reconciliation agreement, property inventory, form of property division, settlement proposal, creditor's agreement, summons, notice, judge instructions, writ, written court permission, written judgment, collegial panel judgment, proof of service as well as other judicial documents and relevant documents attached thereto.</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III. Evidence Obtaining</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16 The evidence to be obtained upon request by an entrusting court can be only that relating to litigation.</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17 The power of attorney about the obtaining of evidence as entrusted by each other shall specify: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name of the entrusting court;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name, address and all other information helpful for identification of the identity of the party concerned and agent ad litem thereof;</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reasons for the entrustment to obtain evidence, as well as specific matters of the aforesaid entrustment;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4. name, address and all other information helpful for identification of the identity of the person under investigation, as well as questions which the person under investigation needs to be asked;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5. special method necessary to be adopted for obtaining evidence; and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6. all other information helpful for implementation of the entrustment.</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18 The scope of obtaining evidence by proxy includes: asking the party concerned, witness and appraisal by proxy, conducting appraisals and judicial inspection by proxy, and obtaining other evidence relating to litigation.</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19 If required by an entrusting court, the entrusted court shall inform it of the time and place for obtaining evidence, so that the relevant party concerned and agent ad litem can participate.</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20 In implementing the entrustment to obtain evidence, an entrusted court may, as per the request of the entrusting court, allow it to assign judicial officers to participate. When necessary, judicial officers of the entrusting court may, upon permission by the entrusted court, ask any witness, appraiser and so on.</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21 After an entrusted court completes the entrusted matter of obtaining evidence, it shall submit written explanations to the entrusting court.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If the entrusted court does not complete the entrusted matter of obtaining evidence in whole or in part as per the request of an entrusting court, the entrusted court shall submit written explanations for the reason for obstruction to the obtaining of evidence to the entrusting court, and in the case of entrustment by mailing, return the power of attorney and documents attached thereto in due time.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a party concerned or witness refuses to give evidence or testimony according to legal provisions of the entrusted court, the entrusted court shall notify the entrusting court in writing, and in the case of entrustment by mailing, return the power of attorney and documents attached thereto in due time.</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22 An entrusted court may, as per the request of the entrusting court and upon agreement by any witness and appraiser, assist the witness and appraiser within its jurisdiction to testify in court within the jurisdiction of the other party.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During the stay within the jurisdiction of the entrusting court, no witness or appraiser shall be subject to criminal prosecution or detention due to his behavior conducted within the jurisdiction of the entrusting party or any judgment made against him before he leaves the jurisdiction of the entrusted party, be deprived of his property or be subjected to his identity certificate being detained due to the performance of a criminal penalty or any other penalty, or his personal freedom being restricted in any way.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a witness or appraiser stays within the jurisdiction of the entrusting party for over seven days after he conducts necessary legal actions and can freely leave the jurisdiction of the entrusting party, or returns to the jurisdiction of the entrusting party by himself after leaving it, the exemption set out in the preceding paragraph will be terminated immediately.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An entrusting court shall prepay expenses and compensation to be incurred by a witness or appraiser appearing in the entrusting court.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For the purpose of this article, persons testifying in court also include the party concerned in the Macao Special Administrative Region.</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23 An entrusted court may, as per the request of the entrusting court and upon agreement by any witness and appraiser, assist the witness and appraiser within its jurisdiction to testify by video or audio.</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24 While an entrusted court obtains evidence, the agent of the person under investigation, witness or appraiser, etc. may participate.</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IV. Supplementary Provisions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25 An entrusted court may, as per the request of the entrusting court, inquire about and provide the relevant laws within the jurisdiction thereof by proxy.</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26 The SPC and the Court of Final Appeal of the Macao Special Administrative Region shall settle upon negotiation any problem during the implementation of the Arrangement.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SPC and the Macao Special Administrative Region shall negotiate any amendment to the Arrangement, if necessary.</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27 The Arrangement shall come into force as of September 15, 2001. The amendment to the Arrangement shall come into force as of March 1, 2020.</w:t>
      </w:r>
      <w:r>
        <w:t>
</w:t>
      </w:r>
    </w:p>
    <w:p/>
    <w:sectPr>
      <w:type w:val="continuous"/>
      <w:pgMar w:top="840" w:right="1000" w:bottom="840" w:left="1000" w:header="400" w:footer="400"/>
      <w:pgNumType w:fmt="decimal"/>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2600"/>
      <w:gridCol w:w="4880"/>
      <w:gridCol w:w="2600"/>
    </w:tblGrid>
    <w:tr>
      <w:tblPrEx>
        <w:tblW w:w="10080" w:type="dxa"/>
        <w:tblLayout w:type="fixed"/>
      </w:tblPrEx>
      <w:tc>
        <w:tcPr>
          <w:tcW w:w="2600" w:type="dxa"/>
          <w:tcMar>
            <w:top w:w="200" w:type="dxa"/>
          </w:tcMar>
          <w:vAlign w:val="center"/>
        </w:tcPr>
        <w:p/>
      </w:tc>
      <w:tc>
        <w:tcPr>
          <w:tcW w:w="4880" w:type="dxa"/>
          <w:tcMar>
            <w:top w:w="200" w:type="dxa"/>
          </w:tcMar>
          <w:vAlign w:val="center"/>
        </w:tcPr>
        <w:p/>
      </w:tc>
      <w:tc>
        <w:tcPr>
          <w:tcW w:w="2600" w:type="dxa"/>
          <w:tcMar>
            <w:top w:w="200" w:type="dxa"/>
          </w:tcMar>
          <w:vAlign w:val="center"/>
        </w:tcPr>
        <w:p/>
      </w:tc>
    </w:tr>
  </w:tbl>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200"/>
      <w:jc w:val="cen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10080"/>
    </w:tblGrid>
    <w:tr>
      <w:tblPrEx>
        <w:tblW w:w="10080" w:type="dxa"/>
        <w:tblLayout w:type="fixed"/>
      </w:tblPrEx>
      <w:tc>
        <w:tcPr>
          <w:tcW w:w="10080" w:type="dxa"/>
          <w:vAlign w:val="center"/>
        </w:tcPr>
        <w:p>
          <w:pPr>
            <w:jc w:val="right"/>
          </w:pPr>
          <w:r>
            <w:rPr>
              <w:rFonts w:ascii="arial" w:eastAsia="arial" w:hAnsi="arial" w:cs="arial"/>
              <w:sz w:val="20"/>
            </w:rPr>
            <w:t xml:space="preserve">Page </w:t>
          </w:r>
          <w:r>
            <w:rPr>
              <w:rFonts w:ascii="arial" w:eastAsia="arial" w:hAnsi="arial" w:cs="arial"/>
              <w:sz w:val="20"/>
            </w:rPr>
            <w:fldChar w:fldCharType="begin"/>
          </w:r>
          <w:r>
            <w:rPr>
              <w:rFonts w:ascii="arial" w:eastAsia="arial" w:hAnsi="arial" w:cs="arial"/>
              <w:sz w:val="20"/>
            </w:rPr>
            <w:instrText xml:space="preserve"> PAGE </w:instrText>
          </w:r>
          <w:r>
            <w:rPr>
              <w:rFonts w:ascii="arial" w:eastAsia="arial" w:hAnsi="arial" w:cs="arial"/>
              <w:sz w:val="20"/>
            </w:rPr>
            <w:fldChar w:fldCharType="separate"/>
          </w:r>
          <w:r>
            <w:rPr>
              <w:rFonts w:ascii="arial" w:eastAsia="arial" w:hAnsi="arial" w:cs="arial"/>
              <w:sz w:val="20"/>
            </w:rPr>
            <w:fldChar w:fldCharType="end"/>
          </w:r>
          <w:r>
            <w:rPr>
              <w:rFonts w:ascii="arial" w:eastAsia="arial" w:hAnsi="arial" w:cs="arial"/>
              <w:sz w:val="20"/>
            </w:rPr>
            <w:t xml:space="preserve"> of </w:t>
          </w:r>
          <w:r>
            <w:rPr>
              <w:rFonts w:ascii="arial" w:eastAsia="arial" w:hAnsi="arial" w:cs="arial"/>
              <w:sz w:val="20"/>
            </w:rPr>
            <w:fldChar w:fldCharType="begin"/>
          </w:r>
          <w:r>
            <w:rPr>
              <w:rFonts w:ascii="arial" w:eastAsia="arial" w:hAnsi="arial" w:cs="arial"/>
              <w:sz w:val="20"/>
            </w:rPr>
            <w:instrText xml:space="preserve"> NUMPAGES </w:instrText>
          </w:r>
          <w:r>
            <w:rPr>
              <w:rFonts w:ascii="arial" w:eastAsia="arial" w:hAnsi="arial" w:cs="arial"/>
              <w:sz w:val="20"/>
            </w:rPr>
            <w:fldChar w:fldCharType="separate"/>
          </w:r>
          <w:r>
            <w:rPr>
              <w:rFonts w:ascii="arial" w:eastAsia="arial" w:hAnsi="arial" w:cs="arial"/>
              <w:sz w:val="20"/>
            </w:rPr>
            <w:fldChar w:fldCharType="end"/>
          </w:r>
        </w:p>
      </w:tc>
    </w:tr>
    <w:tr>
      <w:tblPrEx>
        <w:tblW w:w="10080" w:type="dxa"/>
        <w:tblLayout w:type="fixed"/>
      </w:tblPrEx>
      <w:tc>
        <w:tcPr>
          <w:tcW w:w="10080" w:type="dxa"/>
        </w:tcPr>
        <w:p>
          <w:pPr>
            <w:spacing w:before="60" w:after="200"/>
            <w:jc w:val="center"/>
          </w:pPr>
          <w:r>
            <w:rPr>
              <w:rFonts w:ascii="arial" w:eastAsia="arial" w:hAnsi="arial" w:cs="arial"/>
              <w:sz w:val="20"/>
            </w:rPr>
            <w:t>Arrangement of the Supreme People's Court concerning Entrusting Each Other to Serve Judicial Documents and Obtain Evidence in Civil and Commercial Cases by the ....</w:t>
          </w:r>
        </w:p>
      </w:tc>
    </w:tr>
  </w:tbl>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er" Target="footer2.xml"/><Relationship Id="rId8" Type="http://schemas.openxmlformats.org/officeDocument/2006/relationships/theme" Target="theme/theme1.xml"/><Relationship Id="rId9"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