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26.4.0 -->
  <w:body>
    <w:p>
      <w:pPr>
        <w:sectPr>
          <w:headerReference w:type="default" r:id="rId4"/>
          <w:footerReference w:type="default" r:id="rId5"/>
          <w:footerReference w:type="first" r:id="rId6"/>
          <w:pgSz w:w="12240" w:h="15840"/>
          <w:pgMar w:top="840" w:right="1000" w:bottom="840" w:left="1000" w:header="400" w:footer="400"/>
          <w:pgNumType w:fmt="decimal"/>
          <w:cols w:space="720"/>
          <w:titlePg/>
        </w:sectPr>
      </w:pPr>
    </w:p>
    <w:p>
      <w:pPr>
        <w:pStyle w:val="Heading1"/>
        <w:keepNext w:val="0"/>
        <w:spacing w:before="0" w:after="60" w:line="340" w:lineRule="atLeast"/>
        <w:ind w:left="120" w:right="0" w:firstLine="0"/>
        <w:jc w:val="center"/>
      </w:pPr>
      <w:r>
        <w:rPr>
          <w:rFonts w:ascii="arial" w:eastAsia="arial" w:hAnsi="arial" w:cs="arial"/>
          <w:b/>
          <w:i w:val="0"/>
          <w:strike w:val="0"/>
          <w:noProof w:val="0"/>
          <w:color w:val="0077CC"/>
          <w:position w:val="0"/>
          <w:sz w:val="28"/>
          <w:u w:val="none"/>
          <w:vertAlign w:val="baseline"/>
        </w:rPr>
        <w:t>Circular on Issuing the Provisions of the Supreme People's Procuratorate on Promoting the Connection between Administrative Law Enforcement and Criminal Justice</w:t>
      </w:r>
    </w:p>
    <w:p/>
    <w:p>
      <w:pPr>
        <w:keepNext w:val="0"/>
        <w:spacing w:before="120" w:after="0" w:line="260" w:lineRule="atLeast"/>
        <w:ind w:left="0" w:right="0" w:firstLine="0"/>
        <w:jc w:val="left"/>
      </w:pPr>
      <w:r>
        <w:rPr>
          <w:rFonts w:ascii="arial" w:eastAsia="arial" w:hAnsi="arial" w:cs="arial"/>
          <w:b w:val="0"/>
          <w:i w:val="0"/>
          <w:strike w:val="0"/>
          <w:noProof w:val="0"/>
          <w:color w:val="000000"/>
          <w:position w:val="0"/>
          <w:sz w:val="20"/>
          <w:u w:val="none"/>
          <w:vertAlign w:val="baseline"/>
        </w:rPr>
        <w:t>Judicial Interpretations | Supreme People's Procuratorate</w:t>
      </w:r>
    </w:p>
    <w:p>
      <w:pPr>
        <w:keepNext w:val="0"/>
        <w:spacing w:before="120" w:after="0" w:line="260" w:lineRule="atLeast"/>
        <w:ind w:left="0" w:right="0" w:firstLine="0"/>
        <w:jc w:val="left"/>
      </w:pPr>
      <w:r>
        <w:br/>
      </w:r>
      <w:r>
        <w:rPr>
          <w:rFonts w:ascii="arial" w:eastAsia="arial" w:hAnsi="arial" w:cs="arial"/>
          <w:b w:val="0"/>
          <w:i w:val="0"/>
          <w:strike w:val="0"/>
          <w:noProof w:val="0"/>
          <w:color w:val="000000"/>
          <w:position w:val="0"/>
          <w:sz w:val="20"/>
          <w:u w:val="none"/>
          <w:vertAlign w:val="baseline"/>
        </w:rPr>
        <w:t>Gao Jian Fa Shi Zi [2021] No.4 | 2021-09-06 Issued | 2021-09-06 In force</w:t>
      </w:r>
    </w:p>
    <w:p/>
    <w:p>
      <w:pPr>
        <w:keepNext w:val="0"/>
        <w:spacing w:before="120"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Circular on Issuing the Provisions of the Supreme People's Procuratorate on Promoting the Connection between Administrative Law Enforcement and Criminal Justice</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Gao Jian Fa Shi Zi [2021] No.4</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September 6, 2021</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People's procuratorates of all provinces, autonomous regions and municipalities directly under the Central Government, military procuratorates of the People's Liberation Army, and the People's Procuratorate of the Xinjiang Production and Construction Corps,</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The Provisions of the Supreme People's Procuratorate on Promoting the Connection between Administrative Law Enforcement and Criminal Justice, which were adopted at the 68th meeting of the 13th Procuratorial Committee of the Supreme People's Procuratorate on June 2, 2021, are hereby issued to you for your careful compliance and implementation.</w:t>
      </w:r>
    </w:p>
    <w:p>
      <w:pPr>
        <w:keepNext w:val="0"/>
        <w:spacing w:before="0" w:after="0" w:line="260" w:lineRule="atLeast"/>
        <w:ind w:left="0" w:right="0" w:firstLine="0"/>
        <w:jc w:val="both"/>
      </w:pPr>
      <w:r>
        <w:br/>
      </w:r>
      <w:r>
        <w:rPr>
          <w:rFonts w:ascii="arial" w:eastAsia="arial" w:hAnsi="arial" w:cs="arial"/>
          <w:b w:val="0"/>
          <w:i w:val="0"/>
          <w:strike w:val="0"/>
          <w:noProof w:val="0"/>
          <w:color w:val="000000"/>
          <w:position w:val="0"/>
          <w:sz w:val="20"/>
          <w:u w:val="none"/>
          <w:vertAlign w:val="baseline"/>
        </w:rPr>
        <w:t xml:space="preserve"> Provisions of the Supreme People's Procuratorate on Promoting the Connection between Administrative Law Enforcement and Criminal Justice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 The Provisions are hereby formulated in accordance with the Law of the People's Republic of China on the Organization of the People's Procuratorates, the Law of the People's Republic of China on Administrative Penalties, the Criminal Procedure Law of the People's Republic of China and other relevant provisions and in combination with the Provisions on the Transfer of Suspected Criminal Cases by Administrative Law Enforcement Organs to improve the mechanism for the connection between administrative law enforcement and criminal justice.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2 In the connection between administrative law enforcement and criminal justice, people's procuratorates shall, in strict accordance with the law, accurately and promptly strengthen their coordination and cooperation with supervisory organs, public security organs, judicial administrative organs, and administrative law enforcement organs to ensure the effective connection between administrative law enforcement and criminal justice.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3 The connection between administrative law enforcement and criminal justice made by people's procuratorates shall, according to the categories of cases under their jurisdiction, be handled by the departments responsible for arrest and prosecution, which may listen to the opinions of other case-handling departments when handling the cases.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any of its other case-handling departments finds evidence of the connection between administrative law enforcement and criminal justice in the course of performing procuratorial functions, the department shall promptly transfer such evidence to its department responsible for arrest and prosecution.</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4 When performing duties in accordance with the law, a people's procuratorate shall pay attention to reviewing whether there is a circumstance in which an administrative law enforcement organ should transfer a suspected criminal case to be put on file for investigation but fails to do so, or that a public security organ should put the suspected criminal case transferred by an administrative law enforcement organ on file for investigation but fails to do so.</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5 Where a public security organ should put the suspected criminal case transferred by an administrative law enforcement organ on file after receiving the case but fails to do so, if the administrative law enforcement organ advises a people's procuratorate to supervise the case in accordance with the law, the people's procuratorate shall accept and review the case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6 A people's procuratorate shall accept and review reports that an administrative law enforcement organ should transfer a suspected criminal case in accordance with the law but fails to do so, and that fall under its jurisdiction and meet the conditions for acceptance.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7 After a people's procuratorate examines the evidence set forth in Articles 4 to 6 hereof, if it believes that an administrative law enforcement organ should transfer the suspected criminal case in accordance with the law but fails to do so, it shall, with the approval of the chief prosecutor, submit a procuratorial opinion to the administrative law enforcement organ at the same level, requiring the administrative law enforcement organ to promptly transfer the case to a public security organ and copy the relevant materials to it. It shall copy the procuratorial opinions to the judicial administrative organ at the same level. If the administrative law enforcement organ is subject to vertical management, the procuratorial opinions shall be copied to its higher-level organ.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an administrative law enforcement organ still does not transfer the procuratorial opinions without proper reasons after receiving them, the people's procuratorate shall notify the public security organ of the relevant information in writing.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there may be a circumstance under which a public security organ should put a case on file but fails to do so, the people's procuratorate shall conduct supervision of the case-filing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8 Where a people's procuratorate has decided not to prosecute a case, it shall also examine whether it is necessary to impose an administrative penalty on the person who is immune from prosecution. If an administrative penalty shall be imposed on a person who is immune from prosecution, the people's procuratorate shall, with the approval of the chief prosecutor, issue to the relevant competent authority at the same level procuratorial opinions, which shall be served together with the nol pros decision within three days from the date on which the decision is made. It shall copy the procuratorial opinions to the judicial administrative organ at the same level. If the competent authority is subject to vertical management, the procuratorial opinions shall be copied to its higher-level organ.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The procuratorial opinions shall specify the adoption and release of criminal compulsory measures, the sealing, seizure and freezing of the property involved in the case, the admonishment of the person who is immune from prosecution, recognizance of repentance, apology, compensation for losses and other situations. For those whose illegal gains need to be confiscated, the people's procuratorate shall transfer them together with the sealed, detained, and frozen property involved in the case. The people's procuratorate may also transfer the relevant evidentiary materials collected during the process of handling the case.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9 Where a people's procuratorate proposes a procuratorial opinion on imposing an administrative penalty on a person who is immune from prosecution, it shall require the relevant competent authority to submit the handling results or situation to it in writing within two months from the date of receipt of the procuratorial opinion. If the situation is urgent and needs to be dealt with immediately, the people's procuratorate may determine the time limit for the submission in light of the actual conditions.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10 Where it is necessary to submit a procuratorial opinion to the relevant entity at a higher level, the opinion shall be reported to the people's procuratorate at the same level for a decision to be made and submission, or after the people's procuratorate handling the case prepares a procuratorial opinion, be reported to the people's procuratorate at the same level of the relevant entity at a higher level for examination and forwarding.</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it is necessary to submit a procuratorial opinion to the relevant entity at a lower level, the corresponding people's procuratorate at a lower level shall be instructed to submit the opinion.</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Where it is necessary to submit a procuratorial opinion from a different place, the opinion of the people's procuratorate at the same level where the relevant entity is located shall be solicited. In the case of disagreement, the opinion shall be reported to the common people's procuratorates at a higher level for a decision to be made.</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11 Where the relevant entity fails to reply or deal with the opinion within the required time limit without justified reasons, the people's procuratorate may, upon a decision being made by the chief prosecutor, notify the relevant situation of the judicial administrative organ at the same level in writing, or request the people's procuratorate at a higher level to notify the organ at a higher level of the relevant entity. When necessary, it can be reported to the party committee and the standing committee of the people's congress at the same level.</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12 Where a people's procuratorate discovers that an administrative law enforcement officer is suspected of duty-related violations or crimes, it shall transfer the evidence to the case to the supervisory organ for handling.</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13 Where an administrative law enforcement organ consults a people's procuratorate on issues such as the criteria for placing cases on file for criminal prosecutions and the collection and preservation of evidence, or a public security organ takes the initiative to listen to the opinions and suggestions of a people's procuratorate on the suspected criminal case transferred by an administrative law enforcement organ, the people's procuratorate shall reply in a timely manner. For written consultations, the people's procuratorate shall reply in writing within seven days.</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In the process of handling cases, a people's procuratorate may consult the relevant administrative law enforcement organ on professional issues of administrative law enforcement.</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14 A people's procuratorate shall regularly notify the relevant entities of the connection between administrative law enforcement and criminal justice. If it is found that there are problems such as the need to improve the working mechanism, it may solicit the opinions of the suggested entity and put forward procuratorial suggestions in accordance with the law.</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15 A people's procuratorate may, according to work needs, study and analyze problems in the connection between administrative law enforcement and criminal justice in conjunction with the relevant entities, and propose solutions.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16 People's procuratorates shall cooperate with judicial administrative organs in building information sharing platforms for the connection between administrative law enforcement and criminal justice. The people's procuratorates that have been connected to the information sharing platform shall enter the relevant case information within seven days from the date on which the relevant decision is made. The people's procuratorates that have not been connected to the information sharing platform shall promptly report the relevant case information to the relevant entities.</w:t>
      </w:r>
      <w:r>
        <w:t>
</w:t>
      </w:r>
    </w:p>
    <w:p>
      <w:pPr>
        <w:keepNext w:val="0"/>
        <w:spacing w:after="0" w:line="260" w:lineRule="atLeast"/>
        <w:ind w:left="0" w:right="0" w:firstLine="0"/>
        <w:jc w:val="both"/>
      </w:pPr>
      <w:r>
        <w:rPr>
          <w:rFonts w:ascii="arial" w:eastAsia="arial" w:hAnsi="arial" w:cs="arial"/>
          <w:b w:val="0"/>
          <w:i w:val="0"/>
          <w:strike w:val="0"/>
          <w:noProof w:val="0"/>
          <w:color w:val="000000"/>
          <w:position w:val="0"/>
          <w:sz w:val="20"/>
          <w:u w:val="none"/>
          <w:vertAlign w:val="baseline"/>
        </w:rPr>
        <w:t xml:space="preserve"> Article 17 The Provisions shall come into force on the date of issuance, and the Provisions on the Handling by the People's Procuratorates of Suspected Criminal Cases Transferred by Administrative Law Enforcement Organs (Gao Jian Fa Shi Zi (2001) No.4) shall be repealed at the same time.</w:t>
      </w:r>
      <w:r>
        <w:t>
</w:t>
      </w:r>
    </w:p>
    <w:p/>
    <w:sectPr>
      <w:type w:val="continuous"/>
      <w:pgMar w:top="840" w:right="1000" w:bottom="840" w:left="1000" w:header="400" w:footer="400"/>
      <w:pgNumType w:fmt="decimal"/>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7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20007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2600"/>
      <w:gridCol w:w="4880"/>
      <w:gridCol w:w="2600"/>
    </w:tblGrid>
    <w:tr>
      <w:tblPrEx>
        <w:tblW w:w="10080" w:type="dxa"/>
        <w:tblLayout w:type="fixed"/>
      </w:tblPrEx>
      <w:tc>
        <w:tcPr>
          <w:tcW w:w="2600" w:type="dxa"/>
          <w:tcMar>
            <w:top w:w="200" w:type="dxa"/>
          </w:tcMar>
          <w:vAlign w:val="center"/>
        </w:tcPr>
        <w:p/>
      </w:tc>
      <w:tc>
        <w:tcPr>
          <w:tcW w:w="4880" w:type="dxa"/>
          <w:tcMar>
            <w:top w:w="200" w:type="dxa"/>
          </w:tcMar>
          <w:vAlign w:val="center"/>
        </w:tcPr>
        <w:p/>
      </w:tc>
      <w:tc>
        <w:tcPr>
          <w:tcW w:w="2600" w:type="dxa"/>
          <w:tcMar>
            <w:top w:w="200" w:type="dxa"/>
          </w:tcMar>
          <w:vAlign w:val="center"/>
        </w:tcPr>
        <w:p/>
      </w:tc>
    </w:tr>
  </w:tbl>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200"/>
      <w:jc w:val="cente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80" w:type="dxa"/>
      <w:jc w:val="center"/>
      <w:tblBorders>
        <w:top w:val="nil"/>
        <w:left w:val="nil"/>
        <w:bottom w:val="nil"/>
        <w:right w:val="nil"/>
        <w:insideH w:val="nil"/>
        <w:insideV w:val="nil"/>
      </w:tblBorders>
      <w:tblLayout w:type="fixed"/>
      <w:tblCellMar>
        <w:left w:w="108" w:type="dxa"/>
        <w:right w:w="108" w:type="dxa"/>
      </w:tblCellMar>
    </w:tblPr>
    <w:tblGrid>
      <w:gridCol w:w="10080"/>
    </w:tblGrid>
    <w:tr>
      <w:tblPrEx>
        <w:tblW w:w="10080" w:type="dxa"/>
        <w:tblLayout w:type="fixed"/>
      </w:tblPrEx>
      <w:tc>
        <w:tcPr>
          <w:tcW w:w="10080" w:type="dxa"/>
          <w:vAlign w:val="center"/>
        </w:tcPr>
        <w:p>
          <w:pPr>
            <w:jc w:val="right"/>
          </w:pPr>
          <w:r>
            <w:rPr>
              <w:rFonts w:ascii="arial" w:eastAsia="arial" w:hAnsi="arial" w:cs="arial"/>
              <w:sz w:val="20"/>
            </w:rPr>
            <w:t xml:space="preserve">Page </w:t>
          </w:r>
          <w:r>
            <w:rPr>
              <w:rFonts w:ascii="arial" w:eastAsia="arial" w:hAnsi="arial" w:cs="arial"/>
              <w:sz w:val="20"/>
            </w:rPr>
            <w:fldChar w:fldCharType="begin"/>
          </w:r>
          <w:r>
            <w:rPr>
              <w:rFonts w:ascii="arial" w:eastAsia="arial" w:hAnsi="arial" w:cs="arial"/>
              <w:sz w:val="20"/>
            </w:rPr>
            <w:instrText xml:space="preserve"> PAGE </w:instrText>
          </w:r>
          <w:r>
            <w:rPr>
              <w:rFonts w:ascii="arial" w:eastAsia="arial" w:hAnsi="arial" w:cs="arial"/>
              <w:sz w:val="20"/>
            </w:rPr>
            <w:fldChar w:fldCharType="separate"/>
          </w:r>
          <w:r>
            <w:rPr>
              <w:rFonts w:ascii="arial" w:eastAsia="arial" w:hAnsi="arial" w:cs="arial"/>
              <w:sz w:val="20"/>
            </w:rPr>
            <w:fldChar w:fldCharType="end"/>
          </w:r>
          <w:r>
            <w:rPr>
              <w:rFonts w:ascii="arial" w:eastAsia="arial" w:hAnsi="arial" w:cs="arial"/>
              <w:sz w:val="20"/>
            </w:rPr>
            <w:t xml:space="preserve"> of </w:t>
          </w:r>
          <w:r>
            <w:rPr>
              <w:rFonts w:ascii="arial" w:eastAsia="arial" w:hAnsi="arial" w:cs="arial"/>
              <w:sz w:val="20"/>
            </w:rPr>
            <w:fldChar w:fldCharType="begin"/>
          </w:r>
          <w:r>
            <w:rPr>
              <w:rFonts w:ascii="arial" w:eastAsia="arial" w:hAnsi="arial" w:cs="arial"/>
              <w:sz w:val="20"/>
            </w:rPr>
            <w:instrText xml:space="preserve"> NUMPAGES </w:instrText>
          </w:r>
          <w:r>
            <w:rPr>
              <w:rFonts w:ascii="arial" w:eastAsia="arial" w:hAnsi="arial" w:cs="arial"/>
              <w:sz w:val="20"/>
            </w:rPr>
            <w:fldChar w:fldCharType="separate"/>
          </w:r>
          <w:r>
            <w:rPr>
              <w:rFonts w:ascii="arial" w:eastAsia="arial" w:hAnsi="arial" w:cs="arial"/>
              <w:sz w:val="20"/>
            </w:rPr>
            <w:fldChar w:fldCharType="end"/>
          </w:r>
        </w:p>
      </w:tc>
    </w:tr>
    <w:tr>
      <w:tblPrEx>
        <w:tblW w:w="10080" w:type="dxa"/>
        <w:tblLayout w:type="fixed"/>
      </w:tblPrEx>
      <w:tc>
        <w:tcPr>
          <w:tcW w:w="10080" w:type="dxa"/>
        </w:tcPr>
        <w:p>
          <w:pPr>
            <w:spacing w:before="60" w:after="200"/>
            <w:jc w:val="center"/>
          </w:pPr>
          <w:r>
            <w:rPr>
              <w:rFonts w:ascii="arial" w:eastAsia="arial" w:hAnsi="arial" w:cs="arial"/>
              <w:sz w:val="20"/>
            </w:rPr>
            <w:t>Circular on Issuing the Provisions of the Supreme People's Procuratorate on Promoting the Connection between Administrative Law Enforcement and Criminal Justice</w:t>
          </w:r>
        </w:p>
      </w:tc>
    </w:tr>
  </w:tbl>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stylePaneFormatFilter w:val="3F01"/>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A77B3E"/>
    <w:rsid w:val="00A77B3E"/>
    <w:rsid w:val="00CA2A55"/>
  </w:rsids>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Heading1">
    <w:name w:val="heading 1"/>
    <w:basedOn w:val="Normal"/>
    <w:next w:val="Normal"/>
    <w:qFormat/>
    <w:rsid w:val="00EF7B96"/>
    <w:pPr>
      <w:keepNext/>
      <w:spacing w:before="240" w:after="60"/>
      <w:outlineLvl w:val="0"/>
    </w:pPr>
    <w:rPr>
      <w:rFonts w:ascii="Arial" w:hAnsi="Arial" w:cs="Arial"/>
      <w:b/>
      <w:bCs/>
      <w:kern w:val="32"/>
      <w:sz w:val="32"/>
      <w:szCs w:val="32"/>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webSettings" Target="webSettings.xml"/><Relationship Id="rId3" Type="http://schemas.openxmlformats.org/officeDocument/2006/relationships/fontTable" Target="fontTable.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oter" Target="footer2.xml"/><Relationship Id="rId8" Type="http://schemas.openxmlformats.org/officeDocument/2006/relationships/theme" Target="theme/theme1.xml"/><Relationship Id="rId9"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