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6.4.0 -->
  <w:body>
    <w:p>
      <w:pPr>
        <w:sectPr>
          <w:headerReference w:type="default" r:id="rId4"/>
          <w:footerReference w:type="default" r:id="rId5"/>
          <w:footerReference w:type="first" r:id="rId6"/>
          <w:pgSz w:w="12240" w:h="15840"/>
          <w:pgMar w:top="840" w:right="1000" w:bottom="840" w:left="1000" w:header="400" w:footer="400"/>
          <w:pgNumType w:fmt="decimal"/>
          <w:cols w:space="720"/>
          <w:titlePg/>
        </w:sectPr>
      </w:pPr>
    </w:p>
    <w:p>
      <w:pPr>
        <w:pStyle w:val="Heading1"/>
        <w:keepNext w:val="0"/>
        <w:spacing w:before="0" w:after="60" w:line="340" w:lineRule="atLeast"/>
        <w:ind w:left="120" w:right="0" w:firstLine="0"/>
        <w:jc w:val="center"/>
      </w:pPr>
      <w:r>
        <w:rPr>
          <w:rFonts w:ascii="arial" w:eastAsia="arial" w:hAnsi="arial" w:cs="arial"/>
          <w:b/>
          <w:i w:val="0"/>
          <w:strike w:val="0"/>
          <w:noProof w:val="0"/>
          <w:color w:val="0077CC"/>
          <w:position w:val="0"/>
          <w:sz w:val="28"/>
          <w:u w:val="none"/>
          <w:vertAlign w:val="baseline"/>
        </w:rPr>
        <w:t>Decision of the Standing Committee of the National People's Congress on Revising Eight Laws Including the Law of the People's Republic of China on Road Traffic Safety</w:t>
      </w:r>
    </w:p>
    <w:p/>
    <w:p>
      <w:pPr>
        <w:keepNext w:val="0"/>
        <w:spacing w:before="120" w:after="0" w:line="260" w:lineRule="atLeast"/>
        <w:ind w:left="0" w:right="0" w:firstLine="0"/>
        <w:jc w:val="left"/>
      </w:pPr>
      <w:r>
        <w:rPr>
          <w:rFonts w:ascii="arial" w:eastAsia="arial" w:hAnsi="arial" w:cs="arial"/>
          <w:b w:val="0"/>
          <w:i w:val="0"/>
          <w:strike w:val="0"/>
          <w:noProof w:val="0"/>
          <w:color w:val="000000"/>
          <w:position w:val="0"/>
          <w:sz w:val="20"/>
          <w:u w:val="none"/>
          <w:vertAlign w:val="baseline"/>
        </w:rPr>
        <w:t>Laws | Standing Committee of the National People's Congress</w:t>
      </w:r>
    </w:p>
    <w:p>
      <w:pPr>
        <w:keepNext w:val="0"/>
        <w:spacing w:before="120" w:after="0" w:line="260" w:lineRule="atLeast"/>
        <w:ind w:left="0" w:right="0" w:firstLine="0"/>
        <w:jc w:val="left"/>
      </w:pPr>
      <w:r>
        <w:br/>
      </w:r>
      <w:r>
        <w:rPr>
          <w:rFonts w:ascii="arial" w:eastAsia="arial" w:hAnsi="arial" w:cs="arial"/>
          <w:b w:val="0"/>
          <w:i w:val="0"/>
          <w:strike w:val="0"/>
          <w:noProof w:val="0"/>
          <w:color w:val="000000"/>
          <w:position w:val="0"/>
          <w:sz w:val="20"/>
          <w:u w:val="none"/>
          <w:vertAlign w:val="baseline"/>
        </w:rPr>
        <w:t>Order of the President of the People's Republic of China No. 81 | 2021-04-29 Issued | 2021-04-29 In force</w:t>
      </w:r>
    </w:p>
    <w:p/>
    <w:p>
      <w:pPr>
        <w:keepNext w:val="0"/>
        <w:spacing w:before="12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Decision of the Standing Committee of the National People's Congress on Revising Eight Laws Including the Law of the People's Republic of China on Road Traffic Safety</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Order of the President of the People's Republic of China No. 81</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April 29, 2021</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The Decision of the Standing Committee of the National People's Congress on Revising Eight Laws Including the Law of the People's Republic of China on Road Traffic Safety, which has been adopted at the 28th session of the Standing Committee of the 13th National People's Congress on April 29, 2021, is hereby issued and shall come into effect from the date of issuance.</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Xi Jinping, President of the People's Republic of China</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Decision of the Standing Committee of the National People's Congress on Revising Eight Laws Including the Law of the People's Republic of China on Road Traffic Safety</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(Adopted at the 28th session of the Standing Committee of the 13th National People's Congress on April 29, 2021)</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It has been decided at 28th session of the Standing Committee of the 13th National People's Congress that:</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I. The Law of the People's Republic of China on Road Traffic Safety shall be amended as follows: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Paragraph 1 of Article 20 shall be amended to read: "The trainings on motor vehicle driving shall be conducted by non-government institutions. For this purpose, the competent transport administrative department shall conduct record-filing administration for the driving training schools and driving training classes, and enhance the supervision of the driving training activities; the competent agricultural (agricultural machinery) administration shall conduct supervision and administration of driving training schools and driving training classes for special tractors."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II. The Fire Protection Law of the People's Republic of China shall be amended as follows: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Article 15 shall be amended to read: "A notification and commitment system shall be adopted for the fire safety inspection prior to the use or commencement of the business operation of public gathering places. Before a public gathering place is put into use or starts business operation, its construction entity or the entity using such place shall file an application for fire safety inspection with the fire rescue agency of the local people's government of such place at or above the county level, undertake that it will comply with the technical standards for and administrative provisions on fire protection, submit the materials as required, and be responsible for its commitment and the authenticity of its materials.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fire rescue agency shall review the materials submitted by the applicant; where such materials are complete and conform to the statutory format, permission shall be granted. The fire rescue agency shall, pursuant to technical standards for and administrative provisions on fire protection, timely examine the public gathering place under the commitment.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the applicant chooses not to adopt the notification and commitment system, the fire rescue agency shall, within ten working days upon accepting the application, conduct fire safety inspection on such public gathering places according to the technical standards and administrative provisions for fire protection. Where the fire protection and safety requirements are met upon inspection, permission shall be granted.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the fire rescue agency permission is not granted for a public gathering place, such place shall be prohibited from being use or put into business operation. The specific measures for fire safety inspection shall be formulated by the emergency management department under the State Council".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Article 34 shall be amended to read: "Agencies providing fire protection technical services, such as maintenance and testing of fire protection facilities and fire safety evaluation shall conform to the practicing conditions and their practitioners shall obtain relevant qualifications in accordance with the law; they shall, pursuant to laws, administrative regulations, national standards, industrial standards and practice codes, accept entrusted assignments to provide technical services for fire protection and shall be responsible for the quality of such services".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Item 4, Paragraph 1 of Article 58 shall be amended to read: "4. Putting a public gathering place into use or into business operation without obtaining permission from the fire rescue agency, or the usage and operation status of such place are inconsistent with those specified in the commitment as found by the examination".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 new paragraph shall be added as Paragraph 2, reading: "Where the usage and operation status of a public gathering place are inconsistent with those specified in the commitment as found by the examination, it shall be ordered to make rectification within a prescribed time limit; where rectification fails to be made within the time limit or the place still falls short of the requirements upon rectification, the relevant permission shall be revoked in accordance with the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(4) Article 69 shall be amended to read: " Where an agency providing fire protection technical services, such as maintenance and testing of fire protection facilities and fire safety evaluation, provides such services without meeting the practicing conditions, or provides any false document, it shall be ordered to make rectifications and shall be imposed a fine of no less than CNY 50,000 but no more than CNY100,000 by the fire rescue agency, and its principal directly in charge and other directly responsible persons shall be imposed a fine of no less than CNY 10,000 but no more than CNY50,000; where such agency fails to provide their services pursuant to national standards or industrial standards, it shall be ordered to make rectifications and its principal directly in charge and other directly responsible persons shall be imposed a fine of no more than CNY10,000; the illegal gains, if any, shall be confiscated concurrently; where any loss is caused to others, it shall be liable for compensation in accordance with the law; in case of serious circumstance, the fire rescue agency shall order it to suspend its business and revoke its relevant qualification in accordance with the law; in case of any major loss, relevant department shall revoke its business license and those directly responsible persons shall be imposed a lifelong market ban.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the agency mentioned in the preceding paragraph issues any document that is inconsistent with the fact, causing any loss to others, it shall be liable for compensation in accordance with the law; in case of major loss, the fire rescue agency shall order it to suspend its business and revoke its relevant qualification in accordance with the law and relevant department shall revoke its business license, with those directly responsible persons being imposed a lifelong market ban".</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III. The Law of the People's Republic of China on Imported and Exported Commodities Inspection shall be amended as follows: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The term "the inspection bodies permitted by the State administration for commodity inspection" in Article 3 shall be amended to read "the lawfully established inspection bodies (the "other inspection bodies")".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One paragraph shall be added to Article 6 as Paragraph 3, reading: "Regarding the inspection of import and export commodities mentioned in Paragraph 1 hereof, the commodity inspection authorities shall adopt the inspection result made by an inspection body; such inspection body shall be subject to the directory-based management of the State administration for commodity inspection".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The term "the inspection bodies permitted by the State administration for commodity inspection" in Article 8 shall be amended to read "other inspection bodies".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(4) Article 22 shall be deleted.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(5) Article 23 shall be renumbered as Article 22, the term "the inspection bodies permitted by the State administration for commodity inspection" therein shall be amended to read " other inspection bodies".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(6) Article 34 shall be deleted.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IV. The Advertising Law of the People's Republic of China shall be amended as follows: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The term "and shall deal with the formalities for the registration of advertisement publishing with the market regulation departments at the county level or above" in Article 29 shall be deleted.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The term "or registration certificates for advertisement publishing" in Paragraph 3 Article 55, Article 57, and Paragraph 3 of Article 58 shall be deleted.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Article 66 shall be deleted.</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V. The Grassland Law of the People's Republic of China shall be amended as follows: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Article 52 shall be amended to read "Anyone who engages in profit-making tourist activities on grasslands shall conform to the planning on the protection, development and use of grasslands and shall not infringe upon the legitimate rights and interests of the grassland owner and user and the contractor for management of the grasslands, or damage grassland vegetation."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The term "without permission" in Article 69 shall be deleted.</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VI. The Civil Aviation Law of the People's Republic of China shall be amended as follows: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Paragraph 1 of Article 64 shall be amended to read: "The establishment of an international airport shall be reported to the State Council for examination and approval by the provincial people's government in the place where the airport will be located."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Paragraph 1 of Article 147 shall be amended to read: "Those who engage in general aviation operations not for commercial purposes shall complete record-filing with the competent civil aviation authority under the State Council."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One paragraph shall be amended in Article 211 as Paragraph 2, reading "Those who engage in general aviation operations not for commercial purposes but fail to complete record-filing with the competent civil aviation authority under the State Council will be ordered by the competent civil aviation authority under the State Council to make corrections; if failing to make corrections within the prescribed time limit, they will be imposed a fine less than CNY30,000."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VII. The Customs Law of the People's Republic of China shall be amended as follows: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The term "and approved by and registered with the Customs" in Paragraph 1 of Article 9 shall be deleted.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Article 11 shall be amended to read: " The consignor or consignee of the goods exported or imported as well as a customs declaration enterprise shall register for declaration activities with the Customs in accordance with the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"Customs brokers or customs declaration persons shall not make customs declaration illegally on behalf of others."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Article 88 shall be amended to read: "The Customs may impose a fine on enterprises or individuals that are engaged in customs declaration activities without registering such activities with the Customs."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(4) Article 89 shall be amended to read: " If any customs declaration enterprise illegally acts as an agent of other persons, the Customs shall order the said enterprise to correct the acts and impose a fine thereon at the same time. If the case is serious, its customs declaration registration shall be revoked.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If any customs declaration person illegally acts as an agent of another person, the Customs shall order the person to correct the acts and impose a fine thereon at the same time."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(5) Paragraph 1 of Article 90 shall be amended to read to "Any consignor or consignee of imports or exports or customs declaration enterprise that offers a bribe to any personnel of the Customs shall be banned from customs declaration activities and subject to a fine by the Customs; and shall be held criminally liable under the law if the act constitutes a crime."</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VIII. The Food Safety Law of the People's Republic of China shall be amended as follows: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Paragraph 1 of Article 35 shall be amended to read: "The State implements a licensing system for the food production and trading. Anyone who engages in food production, food selling or catering services shall obtain the license in accordance with the law. However, the license is not required for the sale of edible agricultural products, or when only packaged food is sold. In the event that only packaged food is sold, record-filing shall be completed at the food safety administrations of the people's governments at the county level at the places where the enterprises are located."</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This Decision shall come into effect from the date of issuance.</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The Law of the People's Republic of China on Road Traffic Safety, the Fire Protection Law of the People's Republic of China, the Law of the People's Republic of China on Imported and Exported Commodities Inspection, the Advertising Law of the People's Republic of China, the Grassland Law of the People's Republic of China, the Civil Aviation Law of the People's Republic of China, the Customs Law of the People's Republic of China, and the Food Safety Law of the People's Republic of China shall be re-promulgated upon being revised according to this Decision, with order of the provisions thereof being adjusted accordingly.</w:t>
      </w:r>
      <w:r>
        <w:t>
</w:t>
      </w:r>
    </w:p>
    <w:p/>
    <w:sectPr>
      <w:type w:val="continuous"/>
      <w:pgMar w:top="840" w:right="1000" w:bottom="840" w:left="1000" w:header="400" w:footer="400"/>
      <w:pgNumType w:fmt="decimal"/>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2600"/>
      <w:gridCol w:w="4880"/>
      <w:gridCol w:w="2600"/>
    </w:tblGrid>
    <w:tr>
      <w:tblPrEx>
        <w:tblW w:w="10080" w:type="dxa"/>
        <w:tblLayout w:type="fixed"/>
      </w:tblPrEx>
      <w:tc>
        <w:tcPr>
          <w:tcW w:w="2600" w:type="dxa"/>
          <w:tcMar>
            <w:top w:w="200" w:type="dxa"/>
          </w:tcMar>
          <w:vAlign w:val="center"/>
        </w:tcPr>
        <w:p/>
      </w:tc>
      <w:tc>
        <w:tcPr>
          <w:tcW w:w="4880" w:type="dxa"/>
          <w:tcMar>
            <w:top w:w="200" w:type="dxa"/>
          </w:tcMar>
          <w:vAlign w:val="center"/>
        </w:tcPr>
        <w:p/>
      </w:tc>
      <w:tc>
        <w:tcPr>
          <w:tcW w:w="2600" w:type="dxa"/>
          <w:tcMar>
            <w:top w:w="200" w:type="dxa"/>
          </w:tcMar>
          <w:vAlign w:val="center"/>
        </w:tcPr>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200"/>
      <w:jc w:val="cen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10080"/>
    </w:tblGrid>
    <w:tr>
      <w:tblPrEx>
        <w:tblW w:w="10080" w:type="dxa"/>
        <w:tblLayout w:type="fixed"/>
      </w:tblPrEx>
      <w:tc>
        <w:tcPr>
          <w:tcW w:w="10080" w:type="dxa"/>
          <w:vAlign w:val="center"/>
        </w:tcPr>
        <w:p>
          <w:pPr>
            <w:jc w:val="right"/>
          </w:pPr>
          <w:r>
            <w:rPr>
              <w:rFonts w:ascii="arial" w:eastAsia="arial" w:hAnsi="arial" w:cs="arial"/>
              <w:sz w:val="20"/>
            </w:rPr>
            <w:t xml:space="preserve">Page </w:t>
          </w:r>
          <w:r>
            <w:rPr>
              <w:rFonts w:ascii="arial" w:eastAsia="arial" w:hAnsi="arial" w:cs="arial"/>
              <w:sz w:val="20"/>
            </w:rPr>
            <w:fldChar w:fldCharType="begin"/>
          </w:r>
          <w:r>
            <w:rPr>
              <w:rFonts w:ascii="arial" w:eastAsia="arial" w:hAnsi="arial" w:cs="arial"/>
              <w:sz w:val="20"/>
            </w:rPr>
            <w:instrText xml:space="preserve"> PAGE </w:instrText>
          </w:r>
          <w:r>
            <w:rPr>
              <w:rFonts w:ascii="arial" w:eastAsia="arial" w:hAnsi="arial" w:cs="arial"/>
              <w:sz w:val="20"/>
            </w:rPr>
            <w:fldChar w:fldCharType="separate"/>
          </w:r>
          <w:r>
            <w:rPr>
              <w:rFonts w:ascii="arial" w:eastAsia="arial" w:hAnsi="arial" w:cs="arial"/>
              <w:sz w:val="20"/>
            </w:rPr>
            <w:fldChar w:fldCharType="end"/>
          </w:r>
          <w:r>
            <w:rPr>
              <w:rFonts w:ascii="arial" w:eastAsia="arial" w:hAnsi="arial" w:cs="arial"/>
              <w:sz w:val="20"/>
            </w:rPr>
            <w:t xml:space="preserve"> of </w:t>
          </w:r>
          <w:r>
            <w:rPr>
              <w:rFonts w:ascii="arial" w:eastAsia="arial" w:hAnsi="arial" w:cs="arial"/>
              <w:sz w:val="20"/>
            </w:rPr>
            <w:fldChar w:fldCharType="begin"/>
          </w:r>
          <w:r>
            <w:rPr>
              <w:rFonts w:ascii="arial" w:eastAsia="arial" w:hAnsi="arial" w:cs="arial"/>
              <w:sz w:val="20"/>
            </w:rPr>
            <w:instrText xml:space="preserve"> NUMPAGES </w:instrText>
          </w:r>
          <w:r>
            <w:rPr>
              <w:rFonts w:ascii="arial" w:eastAsia="arial" w:hAnsi="arial" w:cs="arial"/>
              <w:sz w:val="20"/>
            </w:rPr>
            <w:fldChar w:fldCharType="separate"/>
          </w:r>
          <w:r>
            <w:rPr>
              <w:rFonts w:ascii="arial" w:eastAsia="arial" w:hAnsi="arial" w:cs="arial"/>
              <w:sz w:val="20"/>
            </w:rPr>
            <w:fldChar w:fldCharType="end"/>
          </w:r>
        </w:p>
      </w:tc>
    </w:tr>
    <w:tr>
      <w:tblPrEx>
        <w:tblW w:w="10080" w:type="dxa"/>
        <w:tblLayout w:type="fixed"/>
      </w:tblPrEx>
      <w:tc>
        <w:tcPr>
          <w:tcW w:w="10080" w:type="dxa"/>
        </w:tcPr>
        <w:p>
          <w:pPr>
            <w:spacing w:before="60" w:after="200"/>
            <w:jc w:val="center"/>
          </w:pPr>
          <w:r>
            <w:rPr>
              <w:rFonts w:ascii="arial" w:eastAsia="arial" w:hAnsi="arial" w:cs="arial"/>
              <w:sz w:val="20"/>
            </w:rPr>
            <w:t>Decision of the Standing Committee of the National People's Congress on Revising Eight Laws Including the Law of the People's Republic of China on Road Traffic ....</w:t>
          </w:r>
        </w:p>
      </w:tc>
    </w:tr>
  </w:tbl>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er" Target="footer2.xml"/><Relationship Id="rId8" Type="http://schemas.openxmlformats.org/officeDocument/2006/relationships/theme" Target="theme/theme1.xml"/><Relationship Id="rId9"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