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26.4.0 -->
  <w:body>
    <w:p>
      <w:pPr>
        <w:sectPr>
          <w:headerReference w:type="default" r:id="rId4"/>
          <w:footerReference w:type="default" r:id="rId5"/>
          <w:footerReference w:type="first" r:id="rId6"/>
          <w:pgSz w:w="12240" w:h="15840"/>
          <w:pgMar w:top="840" w:right="1000" w:bottom="840" w:left="1000" w:header="400" w:footer="400"/>
          <w:pgNumType w:fmt="decimal"/>
          <w:cols w:space="720"/>
          <w:titlePg/>
        </w:sectPr>
      </w:pPr>
    </w:p>
    <w:p>
      <w:pPr>
        <w:pStyle w:val="Heading1"/>
        <w:keepNext w:val="0"/>
        <w:spacing w:before="0" w:after="60" w:line="340" w:lineRule="atLeast"/>
        <w:ind w:left="120" w:right="0" w:firstLine="0"/>
        <w:jc w:val="center"/>
      </w:pPr>
      <w:r>
        <w:rPr>
          <w:rFonts w:ascii="arial" w:eastAsia="arial" w:hAnsi="arial" w:cs="arial"/>
          <w:b/>
          <w:i w:val="0"/>
          <w:strike w:val="0"/>
          <w:noProof w:val="0"/>
          <w:color w:val="0077CC"/>
          <w:position w:val="0"/>
          <w:sz w:val="28"/>
          <w:u w:val="none"/>
          <w:vertAlign w:val="baseline"/>
        </w:rPr>
        <w:t>Decision of the Standing Committee of the National People's Congress on Amending Eight Laws Including the Construction Law of the People's Republic of China</w:t>
      </w:r>
    </w:p>
    <w:p/>
    <w:p>
      <w:pPr>
        <w:keepNext w:val="0"/>
        <w:spacing w:before="120" w:after="0" w:line="260" w:lineRule="atLeast"/>
        <w:ind w:left="0" w:right="0" w:firstLine="0"/>
        <w:jc w:val="left"/>
      </w:pPr>
      <w:r>
        <w:rPr>
          <w:rFonts w:ascii="arial" w:eastAsia="arial" w:hAnsi="arial" w:cs="arial"/>
          <w:b w:val="0"/>
          <w:i w:val="0"/>
          <w:strike w:val="0"/>
          <w:noProof w:val="0"/>
          <w:color w:val="000000"/>
          <w:position w:val="0"/>
          <w:sz w:val="20"/>
          <w:u w:val="none"/>
          <w:vertAlign w:val="baseline"/>
        </w:rPr>
        <w:t>Laws | Standing Committee of the National People's Congress</w:t>
      </w:r>
    </w:p>
    <w:p>
      <w:pPr>
        <w:keepNext w:val="0"/>
        <w:spacing w:before="120" w:after="0" w:line="260" w:lineRule="atLeast"/>
        <w:ind w:left="0" w:right="0" w:firstLine="0"/>
        <w:jc w:val="left"/>
      </w:pPr>
      <w:r>
        <w:br/>
      </w:r>
      <w:r>
        <w:rPr>
          <w:rFonts w:ascii="arial" w:eastAsia="arial" w:hAnsi="arial" w:cs="arial"/>
          <w:b w:val="0"/>
          <w:i w:val="0"/>
          <w:strike w:val="0"/>
          <w:noProof w:val="0"/>
          <w:color w:val="000000"/>
          <w:position w:val="0"/>
          <w:sz w:val="20"/>
          <w:u w:val="none"/>
          <w:vertAlign w:val="baseline"/>
        </w:rPr>
        <w:t>Order of the President of the People's Republic of China No. 29 | 2019-04-23 Issued | 2019-04-23 In force</w:t>
      </w:r>
    </w:p>
    <w:p/>
    <w:p>
      <w:pPr>
        <w:keepNext w:val="0"/>
        <w:spacing w:before="120"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Decision of the Standing Committee of the National People's Congress on Amending Eight Laws Including the Construction Law of the People's Republic of China </w:t>
      </w:r>
    </w:p>
    <w:p>
      <w:pPr>
        <w:keepNext w:val="0"/>
        <w:spacing w:before="0" w:after="0" w:line="260" w:lineRule="atLeast"/>
        <w:ind w:left="0" w:right="0" w:firstLine="0"/>
        <w:jc w:val="both"/>
      </w:pPr>
      <w:r>
        <w:br/>
      </w:r>
      <w:r>
        <w:rPr>
          <w:rFonts w:ascii="arial" w:eastAsia="arial" w:hAnsi="arial" w:cs="arial"/>
          <w:b w:val="0"/>
          <w:i w:val="0"/>
          <w:strike w:val="0"/>
          <w:noProof w:val="0"/>
          <w:color w:val="000000"/>
          <w:position w:val="0"/>
          <w:sz w:val="20"/>
          <w:u w:val="none"/>
          <w:vertAlign w:val="baseline"/>
        </w:rPr>
        <w:t>Order of the President of the People's Republic of China No. 29 </w:t>
      </w:r>
    </w:p>
    <w:p>
      <w:pPr>
        <w:keepNext w:val="0"/>
        <w:spacing w:before="0" w:after="0" w:line="260" w:lineRule="atLeast"/>
        <w:ind w:left="0" w:right="0" w:firstLine="0"/>
        <w:jc w:val="both"/>
      </w:pPr>
      <w:r>
        <w:br/>
      </w:r>
      <w:r>
        <w:rPr>
          <w:rFonts w:ascii="arial" w:eastAsia="arial" w:hAnsi="arial" w:cs="arial"/>
          <w:b w:val="0"/>
          <w:i w:val="0"/>
          <w:strike w:val="0"/>
          <w:noProof w:val="0"/>
          <w:color w:val="000000"/>
          <w:position w:val="0"/>
          <w:sz w:val="20"/>
          <w:u w:val="none"/>
          <w:vertAlign w:val="baseline"/>
        </w:rPr>
        <w:t>April 23, 2019 </w:t>
      </w:r>
    </w:p>
    <w:p>
      <w:pPr>
        <w:keepNext w:val="0"/>
        <w:spacing w:before="0" w:after="0" w:line="260" w:lineRule="atLeast"/>
        <w:ind w:left="0" w:right="0" w:firstLine="0"/>
        <w:jc w:val="both"/>
      </w:pPr>
      <w:r>
        <w:br/>
      </w:r>
      <w:r>
        <w:rPr>
          <w:rFonts w:ascii="arial" w:eastAsia="arial" w:hAnsi="arial" w:cs="arial"/>
          <w:b w:val="0"/>
          <w:i w:val="0"/>
          <w:strike w:val="0"/>
          <w:noProof w:val="0"/>
          <w:color w:val="000000"/>
          <w:position w:val="0"/>
          <w:sz w:val="20"/>
          <w:u w:val="none"/>
          <w:vertAlign w:val="baseline"/>
        </w:rPr>
        <w:t>The Decision of the Standing Committee of the National People's Congress on Amending Eight Laws Including the Construction Law of the People's Republic of China has been adopted at the Tenth Meeting of the Standing Committee of the 13th National People's Congress on April 23, 2019 and is hereby issued. The revised provisions in the Trademark Law of the People's Republic of China shall become effective from November 1, 2019 while those in other laws shall come into force from the date when this Decision is issued. </w:t>
      </w:r>
    </w:p>
    <w:p>
      <w:pPr>
        <w:keepNext w:val="0"/>
        <w:spacing w:before="0" w:after="0" w:line="260" w:lineRule="atLeast"/>
        <w:ind w:left="0" w:right="0" w:firstLine="0"/>
        <w:jc w:val="both"/>
      </w:pPr>
      <w:r>
        <w:br/>
      </w:r>
      <w:r>
        <w:rPr>
          <w:rFonts w:ascii="arial" w:eastAsia="arial" w:hAnsi="arial" w:cs="arial"/>
          <w:b w:val="0"/>
          <w:i w:val="0"/>
          <w:strike w:val="0"/>
          <w:noProof w:val="0"/>
          <w:color w:val="000000"/>
          <w:position w:val="0"/>
          <w:sz w:val="20"/>
          <w:u w:val="none"/>
          <w:vertAlign w:val="baseline"/>
        </w:rPr>
        <w:t>Xi Jinping, President of the People's Republic of China </w:t>
      </w:r>
    </w:p>
    <w:p>
      <w:pPr>
        <w:keepNext w:val="0"/>
        <w:spacing w:before="0" w:after="0" w:line="260" w:lineRule="atLeast"/>
        <w:ind w:left="0" w:right="0" w:firstLine="0"/>
        <w:jc w:val="both"/>
      </w:pPr>
      <w:r>
        <w:br/>
      </w:r>
      <w:r>
        <w:rPr>
          <w:rFonts w:ascii="arial" w:eastAsia="arial" w:hAnsi="arial" w:cs="arial"/>
          <w:b w:val="0"/>
          <w:i w:val="0"/>
          <w:strike w:val="0"/>
          <w:noProof w:val="0"/>
          <w:color w:val="000000"/>
          <w:position w:val="0"/>
          <w:sz w:val="20"/>
          <w:u w:val="none"/>
          <w:vertAlign w:val="baseline"/>
        </w:rPr>
        <w:t>Decision of the Standing Committee of the National People's Congress on Amending Eight Laws Including the Construction Law of the People's Republic of China </w:t>
      </w:r>
    </w:p>
    <w:p>
      <w:pPr>
        <w:keepNext w:val="0"/>
        <w:spacing w:before="0" w:after="0" w:line="260" w:lineRule="atLeast"/>
        <w:ind w:left="0" w:right="0" w:firstLine="0"/>
        <w:jc w:val="both"/>
      </w:pPr>
      <w:r>
        <w:br/>
      </w:r>
      <w:r>
        <w:rPr>
          <w:rFonts w:ascii="arial" w:eastAsia="arial" w:hAnsi="arial" w:cs="arial"/>
          <w:b w:val="0"/>
          <w:i w:val="0"/>
          <w:strike w:val="0"/>
          <w:noProof w:val="0"/>
          <w:color w:val="000000"/>
          <w:position w:val="0"/>
          <w:sz w:val="20"/>
          <w:u w:val="none"/>
          <w:vertAlign w:val="baseline"/>
        </w:rPr>
        <w:t>(Adopted at the Tenth Meeting of the Standing Committee of the 13th National People's Congress on April 23, 2019) </w:t>
      </w:r>
    </w:p>
    <w:p>
      <w:pPr>
        <w:keepNext w:val="0"/>
        <w:spacing w:before="0" w:after="0" w:line="260" w:lineRule="atLeast"/>
        <w:ind w:left="0" w:right="0" w:firstLine="0"/>
        <w:jc w:val="both"/>
      </w:pPr>
      <w:r>
        <w:br/>
      </w:r>
      <w:r>
        <w:rPr>
          <w:rFonts w:ascii="arial" w:eastAsia="arial" w:hAnsi="arial" w:cs="arial"/>
          <w:b w:val="0"/>
          <w:i w:val="0"/>
          <w:strike w:val="0"/>
          <w:noProof w:val="0"/>
          <w:color w:val="000000"/>
          <w:position w:val="0"/>
          <w:sz w:val="20"/>
          <w:u w:val="none"/>
          <w:vertAlign w:val="baseline"/>
        </w:rPr>
        <w:t>It has been decided at the Tenth Meeting of the Standing Committee of the 13th National People's Congress that: </w:t>
      </w:r>
    </w:p>
    <w:p>
      <w:pPr>
        <w:keepNext w:val="0"/>
        <w:spacing w:before="0" w:after="0" w:line="260" w:lineRule="atLeast"/>
        <w:ind w:left="0" w:right="0" w:firstLine="0"/>
        <w:jc w:val="both"/>
      </w:pPr>
      <w:r>
        <w:br/>
      </w:r>
      <w:r>
        <w:rPr>
          <w:rFonts w:ascii="arial" w:eastAsia="arial" w:hAnsi="arial" w:cs="arial"/>
          <w:b w:val="0"/>
          <w:i w:val="0"/>
          <w:strike w:val="0"/>
          <w:noProof w:val="0"/>
          <w:color w:val="000000"/>
          <w:position w:val="0"/>
          <w:sz w:val="20"/>
          <w:u w:val="none"/>
          <w:vertAlign w:val="baseline"/>
        </w:rPr>
        <w:t xml:space="preserve">I. The following revisions shall be made to the Construction Law of the People's Republic of ChinaArticle 8 shall be revised to read: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"Applications for a building permit shall meet the following requirements:</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1. Have completed the formalities for the approval of land use for the said construction project;</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2. Have obtained the construction project planning permit, if such permit is required;</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3. In the case of necessary demolition and shifting, the progress of demolition and shifting conforming to the requirements of construction;</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4. Have determined the construction enterprise;</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5. Have the fund arrangement, construction drawings and technical information which meet the requirements for construction; and</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6. Have specific measures for ensuring project quality and safety.</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The competent department of construction administration shall, within seven days from the date of receipt of an application, issue a building permit for the application which conforms to the terms."  </w:t>
      </w:r>
    </w:p>
    <w:p>
      <w:pPr>
        <w:keepNext w:val="0"/>
        <w:spacing w:before="0" w:after="0" w:line="260" w:lineRule="atLeast"/>
        <w:ind w:left="0" w:right="0" w:firstLine="0"/>
        <w:jc w:val="both"/>
      </w:pPr>
      <w:r>
        <w:br/>
      </w:r>
      <w:r>
        <w:rPr>
          <w:rFonts w:ascii="arial" w:eastAsia="arial" w:hAnsi="arial" w:cs="arial"/>
          <w:b w:val="0"/>
          <w:i w:val="0"/>
          <w:strike w:val="0"/>
          <w:noProof w:val="0"/>
          <w:color w:val="000000"/>
          <w:position w:val="0"/>
          <w:sz w:val="20"/>
          <w:u w:val="none"/>
          <w:vertAlign w:val="baseline"/>
        </w:rPr>
        <w:t>II. The following revisions shall be made to the Fire Protection Law of the People's Republic of China:</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1. Article 10 shall be revised to read: "With respect to construction projects which require fire protection designs according to the national fire protection technical standards for construction projects, the fire protection design examination and acceptance system shall be adopted."</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2. Article 11 shall be revised to read: "With respect to the special construction projects specified by the competent department of housing and urban-rural development under the State Council, the project owners shall submit the fire protection design documents to the competent department of housing and urban-rural development for examination. The competent department of housing and urban-rural development shall be accountable for the results of such examinations in accordance with the law.</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With respect to other construction projects apart from those mentioned above, the project owners shall submit the drawings and technical materials of fire protection design that meet the construction requirement, when they apply for a construction permit or seek approval of the report for the start of construction."</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3. Article 12 shall be revised to read: "If a special construction project fails to undergo the fire protection design examination, or fails such examination, neither its project owner nor its construction entity shall carry out the construction work; with respect to other construction projects, if the project owners fail to submit the drawings and technical materials of fire protection design that meet the construction requirement, the relevant department shall not issue a construction permit or approve the report for the start of construction."</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4. Article 13 shall be revised to read: "With respect to the construction projects that are required by the competent department of housing and urban-rural development under the State Council to apply for acceptance checks for fire protection, project owners shall apply to the competent department of housing and urban-rural development under the State Council for acceptance checks for fire protection.</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With respect to other construction projects apart from those mentioned above, project owners shall, after an acceptance check, report its results to the competent department of housing and urban-rural development for the record, and such department shall conduct a random inspection thereof.</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With respect to construction projects that are subject to fire protection acceptance checks in accordance with the law, such projects shall not be put into use without completing or passing an acceptance check. With respect to other construction projects, those that fail the legal random inspection shall be suspended from use."</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5. Article 14 shall be revised to read: "Specific measures for examination of fire protection design, fire protection acceptance checks, record-filing and random inspection of construction projects shall be formulated by the competent department of housing and urban-rural development."</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6. Article 56 shall be revised to read: "Competent departments of housing and urban-rural development, fire rescue agencies and their personnel shall, according to their statutory functions, powers and procedures, conduct examination of fire protection designs, fire protection acceptance checks, random records inspections and fire safety and protection inspections in an impartial, strict, civilized and efficient manner.</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When conducting examination of fire protection designs, fire protection acceptance checks, random records inspections and fire safety and protection inspections, competent departments of housing and urban-rural development, fire rescue agencies and their personnel shall not charge any fee or seek any benefit from their duties; shall not abuse their powers to designate or concealingly designate brands of fire protection products, sales entities of fire protection products, entities providing fire protection technical services or fire protection facility construction entities for users or construction project owners."</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7. The phrase "fire protection departments of public security organs" in Article 57 and Paragraph 1 of Article 71 shall be revised to "competent department of housing and urban-rural development, fire rescue agencies"; the phrase "examination and verification" in Article 71 shall be revised to "examination", and the word "construction" in Paragraph 2 thereof shall be deleted.</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8. Article 58 shall be revised to read: "Those who have committed any of the following acts which result in a violation of the provisions hereof shall be ordered to suspend construction, use, production or business operations and be imposed a fine of not lower than CNY30,000 and not higher than CNY300,000 by competent departments of housing and urban-rural development and fire rescue agencies according to their duties respectively:</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1. Carrying out a construction project the fire protection design of which is required to be examined in accordance with the law, but such design has not been so examined or has failed the examination;</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2. Putting into use a construction project which is required to undergo a fire protection acceptance check, but the project has not undergone the acceptance check or has failed the acceptance check;</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3. Failing to suspend the use of other construction projects specified in Article 13 which had passed the acceptance check but were found to be unqualified in a random inspection according to the law;</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4. Putting a public gathering place into use or into business operation without permission when the place has not undergone fire safety and protection inspections or has failed to meet fire safety and protection requirements.</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A project owner, after an acceptance check, who fails to report its results to the competent department of housing and urban-rural development for the record, will be ordered to effect rectifications and be imposed a fine of not more than CNY5,000 by such department."</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9. The phrase "be ordered to effect rectifications or to suspend construction" in Article 59 shall be revised to read: "be ordered by the competent department of housing and urban-rural development to effect rectifications or to suspend construction."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10. Article 70 shall be revised to read: "Unless otherwise determined by the public security organ in accordance with the Law of the People's Republic of China on Penalties for the Violation of Public Security Administration, the administrative penalties as prescribed in this Law shall be determined by the competent department of housing and urban-rural development and fire rescue agencies according to their respective functions and powers.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If an entity is ordered to suspend construction, use, production or business operation, it shall, after completing the rectifications, report the same to the department or organ rendering the said order, and shall not resume construction, use, production or business before passing the inspection conducted by the aforesaid department or organ.</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If the parties concerned fail to suspend production, business operation, use or construction within a specified time limit as ordered, the department or organ rendering the said order shall enforce the same.</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If an order to suspend production or business will cause a relatively significant impact on the economy and society, the competent department of housing and urban-rural development or emergency management department shall report the same to the people's government at the same level for a decision to be made."</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11. The phrase "fire protection departments of public security organs" in Article 4, Article 17, Article 24 and Article 55 shall be revised to read: "fire rescue agencies"; the phrases "public security department", "public security organ" and "fire protection department of public security organs" shall be revised to "emergency management department"; "public security organs and their fire protection departments" in Paragraph 3 of Article 6 shall be revised to "emergency management departments and their fire rescue agencies", and "public security organs" shall be revised to "public security organs, emergency management departments"; "fire protection departments of public security organs" in Articles 15, 25, 29, 40, 42, 45, 51, 53, 54, 60, 62, 64 and 65 shall be revised to "fire rescue agencies"; "public security fire brigades" in Articles 36, 37, 38, 39, 46 and 49 shall be revised to "national integrated fire rescue teams". </w:t>
      </w:r>
    </w:p>
    <w:p>
      <w:pPr>
        <w:keepNext w:val="0"/>
        <w:spacing w:before="0" w:after="0" w:line="260" w:lineRule="atLeast"/>
        <w:ind w:left="0" w:right="0" w:firstLine="0"/>
        <w:jc w:val="both"/>
      </w:pPr>
      <w:r>
        <w:br/>
      </w:r>
      <w:r>
        <w:rPr>
          <w:rFonts w:ascii="arial" w:eastAsia="arial" w:hAnsi="arial" w:cs="arial"/>
          <w:b w:val="0"/>
          <w:i w:val="0"/>
          <w:strike w:val="0"/>
          <w:noProof w:val="0"/>
          <w:color w:val="000000"/>
          <w:position w:val="0"/>
          <w:sz w:val="20"/>
          <w:u w:val="none"/>
          <w:vertAlign w:val="baseline"/>
        </w:rPr>
        <w:t>III. The following revisions shall be made to the Law of the People's Republic of China on Electronic Signatures:</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Item 2 in Paragraph 3 of Article 3 shall be deleted; Item 2 therein shall be revised to read: "Documents concerning the termination of water supplies, heat supplies, gas supplies or other public-utility services." </w:t>
      </w:r>
    </w:p>
    <w:p>
      <w:pPr>
        <w:keepNext w:val="0"/>
        <w:spacing w:before="0" w:after="0" w:line="260" w:lineRule="atLeast"/>
        <w:ind w:left="0" w:right="0" w:firstLine="0"/>
        <w:jc w:val="both"/>
      </w:pPr>
      <w:r>
        <w:br/>
      </w:r>
      <w:r>
        <w:rPr>
          <w:rFonts w:ascii="arial" w:eastAsia="arial" w:hAnsi="arial" w:cs="arial"/>
          <w:b w:val="0"/>
          <w:i w:val="0"/>
          <w:strike w:val="0"/>
          <w:noProof w:val="0"/>
          <w:color w:val="000000"/>
          <w:position w:val="0"/>
          <w:sz w:val="20"/>
          <w:u w:val="none"/>
          <w:vertAlign w:val="baseline"/>
        </w:rPr>
        <w:t>IV. The following revisions shall be made to the Law of the People's Republic of China on Urban and Rural Planning: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Paragraph 2 of Article 38 shall be revised to read: "For a construction project for which the right to use State-owned land is obtained through transfer, the development unit shall apply to the department in charge of urban and rural planning under the people's government of the city or county concerned for a permit for planned use of land for construction, after it receives the approval, verification and record-filing documents for the construction project and concludes the contract on transfer of the said right." </w:t>
      </w:r>
    </w:p>
    <w:p>
      <w:pPr>
        <w:keepNext w:val="0"/>
        <w:spacing w:before="0" w:after="0" w:line="260" w:lineRule="atLeast"/>
        <w:ind w:left="0" w:right="0" w:firstLine="0"/>
        <w:jc w:val="both"/>
      </w:pPr>
      <w:r>
        <w:br/>
      </w:r>
      <w:r>
        <w:rPr>
          <w:rFonts w:ascii="arial" w:eastAsia="arial" w:hAnsi="arial" w:cs="arial"/>
          <w:b w:val="0"/>
          <w:i w:val="0"/>
          <w:strike w:val="0"/>
          <w:noProof w:val="0"/>
          <w:color w:val="000000"/>
          <w:position w:val="0"/>
          <w:sz w:val="20"/>
          <w:u w:val="none"/>
          <w:vertAlign w:val="baseline"/>
        </w:rPr>
        <w:t>V. The following revisions shall be made to the Law of the People's Republic of China on Vehicle and Vessel Tax:</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One item shall be added to Article 3 as Item 4 and read: "4. Vehicles of the national integrated fire rescue teams and special vessels of the national integrated fire rescue teams, with number plates exclusively used for emergency rescue."  </w:t>
      </w:r>
    </w:p>
    <w:p>
      <w:pPr>
        <w:keepNext w:val="0"/>
        <w:spacing w:before="0" w:after="0" w:line="260" w:lineRule="atLeast"/>
        <w:ind w:left="0" w:right="0" w:firstLine="0"/>
        <w:jc w:val="both"/>
      </w:pPr>
      <w:r>
        <w:br/>
      </w:r>
      <w:r>
        <w:rPr>
          <w:rFonts w:ascii="arial" w:eastAsia="arial" w:hAnsi="arial" w:cs="arial"/>
          <w:b w:val="0"/>
          <w:i w:val="0"/>
          <w:strike w:val="0"/>
          <w:noProof w:val="0"/>
          <w:color w:val="000000"/>
          <w:position w:val="0"/>
          <w:sz w:val="20"/>
          <w:u w:val="none"/>
          <w:vertAlign w:val="baseline"/>
        </w:rPr>
        <w:t>VI. The following revisions shall be made to the Trademark Law of the People's Republic of China: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1. Paragraph 1 of Article 4 shall be amended to read: " Any natural person, legal person, or other organization that needs to acquire the exclusive right to use a trademark in their production and operation activities shall file an application for trademark registration with the Trademark Office. An application for trademark registration that is malicious and not filed for the purpose of use shall be refused."</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2. Paragraph 3 of Article 19 shall be amended to read: "If the trademark agency knows or should know that a trademark for which a client applies for registration falls into the circumstances specified in Article 4, Article 15 and Article 32 hereof, the trademark agency shall not accept the entrustment."</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3. Article 33 shall be amended to read: "Where any prior right owner or interested person believes that the provisions of Paragraphs 2 and 3 of Article 13, Article 15, Paragraph 1 of Article 16, Article 30, Article 31 or Article 32 of the Law have been breached or any person believes that the provisions of Article 4, Article 10, Article 11, Article 12 and Paragraph 4 of Article 19 have been violated, it may raise an objection with the Trade Office against a trademark that has been published after a preliminary examination within three months from the date of announcement. If no objections have been raised upon expiration of such period, the application shall be approved for registration with issuance of a certificate of trademark registration and announcement of the trademark."</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4. Paragraph 1 of Article 44 shall be amended to read: "The Trademark Office shall annul a registered trademark if it violates the provisions of Article 4, Article 10, Article 11, Article 12 and Paragraph 4 of Article 19 of the Law, or it was acquired by fraud or any other improper means. Other units or individuals may request the Trademark Review and Adjudication Board for a ruling to annul such a registered trademark.The Trademark Office shall notify the party concerned in writing of the nullification of the registered trademarks. Where the party concerned is dissatisfied with the ruling it may apply to the Trademark Review and Adjudication Board for a review within 15 days from the receipt of the notice. The Trademark Review and Adjudication Board shall make a ruling within nine months from the receipt of the application, and notify the party concerned in writing. In case of prolonging such period for certain special situations, it may be prolonged for three months after approval is granted by the administrative department for industry and commerce under the State Council. In the event that the party concerned is dissatisfied with the ruling of the Trademark Review and Adjudication Board, it may appeal to the People's Court within 30 days from receipt of the notice."</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5. The phrase "one time to three times" in Paragraph 1 of Article 63 shall be amended to read "one time to five times"; the phrase "CNY3 million" in Paragraph 3 thereof shall be amended to read "CNY5 million". Two paragraphs shall be added as Paragraph 4 and Paragraph 5, and read: "In hearing a case of trademark dispute, the people's court may, at the request of the right owner, order to destroy goods bearing counterfeit registered trademarks, unless there are special circumstances; order to destroy the materials and tools mainly used to manufacture the goods bearing counterfeit registered trademarks, without compensation; or, under special circumstances, order banning of the aforesaid materials and tools from entering any commercial channel without compensation.</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Goods bearing counterfeit registered trademarks shall not be put into any commercial channel by merely having their counterfeit registered trademarks removed."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6. Item 3 in Paragraph 1 of Article 68 shall be amended to read: "Violating provisions of Article 4, and Paragraphs 3 and 4 of Article 19 of the Law." One paragraph shall be added as Paragraph 4 and read: "In the event of any malicious application for trademark registration, such administrative penalties as giving a warning and imposing a fine shall be given, depending on the specific circumstance; in the event of maliciously lodging a lawsuit regarding a trademark, the people's court shall impose penalties in accordance with the law."  </w:t>
      </w:r>
    </w:p>
    <w:p>
      <w:pPr>
        <w:keepNext w:val="0"/>
        <w:spacing w:before="0" w:after="0" w:line="260" w:lineRule="atLeast"/>
        <w:ind w:left="0" w:right="0" w:firstLine="0"/>
        <w:jc w:val="both"/>
      </w:pPr>
      <w:r>
        <w:br/>
      </w:r>
      <w:r>
        <w:rPr>
          <w:rFonts w:ascii="arial" w:eastAsia="arial" w:hAnsi="arial" w:cs="arial"/>
          <w:b w:val="0"/>
          <w:i w:val="0"/>
          <w:strike w:val="0"/>
          <w:noProof w:val="0"/>
          <w:color w:val="000000"/>
          <w:position w:val="0"/>
          <w:sz w:val="20"/>
          <w:u w:val="none"/>
          <w:vertAlign w:val="baseline"/>
        </w:rPr>
        <w:t>VII. The following revisions shall be made to the Anti-Unfair Competition Law of the People's Republic of China:</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1. Article 9 is revised to read: "A business operator shall not engage in any of the following infringements of commercial secrets:</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1. obtaining an obligee's commercial secrets by theft, bribery, intimidation, electronic intrusion or other improper means;</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2. disclosing, using, or allowing others to use an obligee's commercial secrets obtained by the means mentioned in the preceding paragraph; or</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3. disclosing, using or allowing others to use an obligee's commercial secrets in violation of confidentiality obligations or the obligee's requirements on keeping such commercial secrets confidential.</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4. obtaining, disclosing, using or allowing any other party to use an obligee's commercial secrets by instigating, tempting or helping any other party to violate the confidentiality obligations or the obligee's requirements on keeping such commercial secrets confidential.</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Other natural persons, legal persons and unincorporated organizations other than the business operators who commit the illegal acts listed in the preceding paragraph shall be deemed to have infringed commercial secrets.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Where a third party knows or should know of the fact that an employee or former employee of the right owner of commercial secrets or any other entity or individual conducts any of the illegal acts specified in the first paragraph of this article, but still accepts, publishes, uses or allows any other party to use such secrets, such practice shall be deemed as infringement of commercial secrets.</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For the purpose of this Law, commercial secrets refer to any technical information, operational information or commercial information which is not known to the public and has commercial value, and for which its obligee has adopted measures to ensure its confidentiality."</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2. Article 17 is revised to read: "A business operator that violates this Law and thus causes damage to others shall bear civil liability for such damage in accordance with the law.</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A business operator whose lawful rights and interests are infringed by an unfair competition act may file a lawsuit with a people's court.</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The amount of compensation for damage caused by any unfair competition act to a business operator shall be determined depending on the actual losses suffered by such operator as a result of the infringement; where it is truly difficult to work out the actual losses, such amount shall be determined in accordance with the benefits obtained by the infringer from the infringement. Where a business operator is maliciously engaged in the infringement of commercial secrets, if the circumstance is serious, the amount of compensation may be determined by more than one time yet less than five times the amount determined according to the above method. The amount of compensation shall also include the reasonable expenses paid by the damaged business operator to stop the infringement.</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Where a business operator violates the provisions stipulated in Article 6 or Article 9 herein, and it is truly difficult to determine the actual losses suffered by the obligee as a result of the infringement, or the benefits obtained by the infringer from the infringement, the people's court shall award the obligee less than CNY5 million in damages, depending on the seriousness of the infringement."</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3. Article 21 is revised to read: "Where a business operator or any other natural person, legal person or unincorporated organization infringes any commercial secret in violation of Article 9 herein, the supervision and inspection authority shall order it to cease the illegal act, confiscate the illegal gains and impose on it a fine of between CNY100,000 and CNY1 million; where the circumstance is serious, the fine shall be between CNY500,000 and CNY5 million."</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4. One article is added as Article 32, which reads: "During civil trials of infringement cases of commercial secrets, where the preliminary evidence provided by an obligee of commercial secrets can prove that it has taken measures to keep the confidentiality of its commercial secrets and can reasonably indicate that such commercial secrets have been infringed, the alleged infringer shall prove that the commercial secrets claimed by the obligee do not fall with the scope of commercial secrets as provided in this Law.</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Where the obligee of commercial secrets provides preliminary evidence that can reasonably indicate that the commercial secrets have been infringed and provides one of the following pieces of evidence, the alleged infringer shall prove that there is no infringement of any commercial secret:</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1. there is evidence showing that the alleged infringer has access to or opportunities to obtain such commercial secrets and the information used by the alleged infringer is substantially identical to such commercial secrets;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2. there is evidence showing that such commercial secrets have been or have the possibility of being published or used by the alleged infringer;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3. there is any other evidence showing that such commercial secrets have been infringed by the alleged infringer."  </w:t>
      </w:r>
    </w:p>
    <w:p>
      <w:pPr>
        <w:keepNext w:val="0"/>
        <w:spacing w:before="0" w:after="0" w:line="260" w:lineRule="atLeast"/>
        <w:ind w:left="0" w:right="0" w:firstLine="0"/>
        <w:jc w:val="both"/>
      </w:pPr>
      <w:r>
        <w:br/>
      </w:r>
      <w:r>
        <w:rPr>
          <w:rFonts w:ascii="arial" w:eastAsia="arial" w:hAnsi="arial" w:cs="arial"/>
          <w:b w:val="0"/>
          <w:i w:val="0"/>
          <w:strike w:val="0"/>
          <w:noProof w:val="0"/>
          <w:color w:val="000000"/>
          <w:position w:val="0"/>
          <w:sz w:val="20"/>
          <w:u w:val="none"/>
          <w:vertAlign w:val="baseline"/>
        </w:rPr>
        <w:t>VIII. The following revisions shall be made to the Administrative Licensing Law of the People's Republic of China:</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1. Article 5 shall be revised to read: "The principle of publicity, fairness and impartiality shall be abided by in the establishment and implementation of administrative licensing.</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The relevant regulations on administrative licensing shall be announced to the public; those undisclosed shall not be the basis for the implementation of administrative licensing. The implementation of administrative licensing and the results thereof, except for those that concern state secrets, commercial secrets or individual privacy, shall be disclosed. Without approval by the applicants, no administrative organ nor any of its functionaries, nor anyone participating in an expert review or other events, shall disclose any trade secret, undisclosed information or confidential business information submitted by the applicants, unless otherwise stipulated by laws or unless national security or a major public interest is involved; if any administrative organ discloses the aforesaid information submitted by an applicant in accordance with the law, the applicant is allowed raise an objection within a reasonable time limit.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Applicants who meet the legal conditions and standards are entitled to obtain the equal right under administrative licensing and the administrative organs shall not discriminate against any of them."</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2. One paragraph shall be added to Article 31 as Paragraph 2 and read: "No administrative organ nor its functionaries shall take transfer of technology as the condition for administrative licensing, nor request transfer of any technology during the implementation of administrative licensing, whether directly or indirectly."</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3. Article 72 shall be revised to read: "Where an administrative organ and any of its functionaries violates any of the provisions of this Law under any of the following circumstances, the situation shall be ordered to be rectified by the superior administrative organ or the supervisory organ; if the circumstances are serious, the directly liable persons in charge and other directly liable persons shall be imposed an administrative sanction in accordance with the law:</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1. Failure to accept the applications for administrative licensing that meet the statutory requirements;</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2. Failure to display the materials in the offices that shall be displayed in accordance with the law;</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3. Failure to perform the statutory duty of keeping the applicant and the interested party informed during the period of accepting, examining and deciding on administrative licensing;</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4. For an applicant whose application materials are incomplete or inconsistent with the statutory form, failure to inform, once and for all, the applicant of all the items that shall be supplemented or corrected;</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5. Illegal disclosure of any trade secret, undisclosed information or confidential business information submitted by any applicant;</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6. Taking of transfer of technology as the condition for administrative licensing or requesting of transfer of any technology during the implementation of administrative licensing, whether directly or indirectly;</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7. Failure to explain why an application for administrative licensing is rejected, or why administrative licensing is disapproved in accordance with the law;</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8. Failure to hold a hearing as required by the law." </w:t>
      </w:r>
    </w:p>
    <w:p>
      <w:pPr>
        <w:keepNext w:val="0"/>
        <w:spacing w:before="0" w:after="0" w:line="260" w:lineRule="atLeast"/>
        <w:ind w:left="0" w:right="0" w:firstLine="0"/>
        <w:jc w:val="both"/>
      </w:pPr>
      <w:r>
        <w:br/>
      </w:r>
      <w:r>
        <w:rPr>
          <w:rFonts w:ascii="arial" w:eastAsia="arial" w:hAnsi="arial" w:cs="arial"/>
          <w:b w:val="0"/>
          <w:i w:val="0"/>
          <w:strike w:val="0"/>
          <w:noProof w:val="0"/>
          <w:color w:val="000000"/>
          <w:position w:val="0"/>
          <w:sz w:val="20"/>
          <w:u w:val="none"/>
          <w:vertAlign w:val="baseline"/>
        </w:rPr>
        <w:t>The revised provisions in the Trademark Law of the People's Republic of China shall become effective from November 1, 2019 while those in other laws shall come into force from the date when this Decision is issued. </w:t>
      </w:r>
    </w:p>
    <w:p>
      <w:pPr>
        <w:keepNext w:val="0"/>
        <w:spacing w:before="0" w:after="0" w:line="260" w:lineRule="atLeast"/>
        <w:ind w:left="0" w:right="0" w:firstLine="0"/>
        <w:jc w:val="both"/>
      </w:pPr>
      <w:r>
        <w:br/>
      </w:r>
      <w:r>
        <w:rPr>
          <w:rFonts w:ascii="arial" w:eastAsia="arial" w:hAnsi="arial" w:cs="arial"/>
          <w:b w:val="0"/>
          <w:i w:val="0"/>
          <w:strike w:val="0"/>
          <w:noProof w:val="0"/>
          <w:color w:val="000000"/>
          <w:position w:val="0"/>
          <w:sz w:val="20"/>
          <w:u w:val="none"/>
          <w:vertAlign w:val="baseline"/>
        </w:rPr>
        <w:t>The Construction Law of the People's Republic of China, the Fire Protection Law of the People's Republic of China, the Law of the People's Republic of China on Electronic Signatures, the Law of the People's Republic of China on Urban and Rural Planning, the Law of the People's Republic of China on Vehicle and Vessel Tax, the Trademark Law of the People's Republic of China, the Anti-Unfair Competition Law of the People's Republic of China and the Administrative Licensing Law of the People's Republic of China shall be revised in accordance with this Decision and re-promulgated.</w:t>
      </w:r>
      <w:r>
        <w:t>
</w:t>
      </w:r>
    </w:p>
    <w:p/>
    <w:sectPr>
      <w:type w:val="continuous"/>
      <w:pgMar w:top="840" w:right="1000" w:bottom="840" w:left="1000" w:header="400" w:footer="400"/>
      <w:pgNumType w:fmt="decimal"/>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7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20007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80" w:type="dxa"/>
      <w:jc w:val="center"/>
      <w:tblBorders>
        <w:top w:val="nil"/>
        <w:left w:val="nil"/>
        <w:bottom w:val="nil"/>
        <w:right w:val="nil"/>
        <w:insideH w:val="nil"/>
        <w:insideV w:val="nil"/>
      </w:tblBorders>
      <w:tblLayout w:type="fixed"/>
      <w:tblCellMar>
        <w:left w:w="108" w:type="dxa"/>
        <w:right w:w="108" w:type="dxa"/>
      </w:tblCellMar>
    </w:tblPr>
    <w:tblGrid>
      <w:gridCol w:w="2600"/>
      <w:gridCol w:w="4880"/>
      <w:gridCol w:w="2600"/>
    </w:tblGrid>
    <w:tr>
      <w:tblPrEx>
        <w:tblW w:w="10080" w:type="dxa"/>
        <w:tblLayout w:type="fixed"/>
      </w:tblPrEx>
      <w:tc>
        <w:tcPr>
          <w:tcW w:w="2600" w:type="dxa"/>
          <w:tcMar>
            <w:top w:w="200" w:type="dxa"/>
          </w:tcMar>
          <w:vAlign w:val="center"/>
        </w:tcPr>
        <w:p/>
      </w:tc>
      <w:tc>
        <w:tcPr>
          <w:tcW w:w="4880" w:type="dxa"/>
          <w:tcMar>
            <w:top w:w="200" w:type="dxa"/>
          </w:tcMar>
          <w:vAlign w:val="center"/>
        </w:tcPr>
        <w:p/>
      </w:tc>
      <w:tc>
        <w:tcPr>
          <w:tcW w:w="2600" w:type="dxa"/>
          <w:tcMar>
            <w:top w:w="200" w:type="dxa"/>
          </w:tcMar>
          <w:vAlign w:val="center"/>
        </w:tcPr>
        <w:p/>
      </w:tc>
    </w:tr>
  </w:tbl>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200"/>
      <w:jc w:val="cente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80" w:type="dxa"/>
      <w:jc w:val="center"/>
      <w:tblBorders>
        <w:top w:val="nil"/>
        <w:left w:val="nil"/>
        <w:bottom w:val="nil"/>
        <w:right w:val="nil"/>
        <w:insideH w:val="nil"/>
        <w:insideV w:val="nil"/>
      </w:tblBorders>
      <w:tblLayout w:type="fixed"/>
      <w:tblCellMar>
        <w:left w:w="108" w:type="dxa"/>
        <w:right w:w="108" w:type="dxa"/>
      </w:tblCellMar>
    </w:tblPr>
    <w:tblGrid>
      <w:gridCol w:w="10080"/>
    </w:tblGrid>
    <w:tr>
      <w:tblPrEx>
        <w:tblW w:w="10080" w:type="dxa"/>
        <w:tblLayout w:type="fixed"/>
      </w:tblPrEx>
      <w:tc>
        <w:tcPr>
          <w:tcW w:w="10080" w:type="dxa"/>
          <w:vAlign w:val="center"/>
        </w:tcPr>
        <w:p>
          <w:pPr>
            <w:jc w:val="right"/>
          </w:pPr>
          <w:r>
            <w:rPr>
              <w:rFonts w:ascii="arial" w:eastAsia="arial" w:hAnsi="arial" w:cs="arial"/>
              <w:sz w:val="20"/>
            </w:rPr>
            <w:t xml:space="preserve">Page </w:t>
          </w:r>
          <w:r>
            <w:rPr>
              <w:rFonts w:ascii="arial" w:eastAsia="arial" w:hAnsi="arial" w:cs="arial"/>
              <w:sz w:val="20"/>
            </w:rPr>
            <w:fldChar w:fldCharType="begin"/>
          </w:r>
          <w:r>
            <w:rPr>
              <w:rFonts w:ascii="arial" w:eastAsia="arial" w:hAnsi="arial" w:cs="arial"/>
              <w:sz w:val="20"/>
            </w:rPr>
            <w:instrText xml:space="preserve"> PAGE </w:instrText>
          </w:r>
          <w:r>
            <w:rPr>
              <w:rFonts w:ascii="arial" w:eastAsia="arial" w:hAnsi="arial" w:cs="arial"/>
              <w:sz w:val="20"/>
            </w:rPr>
            <w:fldChar w:fldCharType="separate"/>
          </w:r>
          <w:r>
            <w:rPr>
              <w:rFonts w:ascii="arial" w:eastAsia="arial" w:hAnsi="arial" w:cs="arial"/>
              <w:sz w:val="20"/>
            </w:rPr>
            <w:fldChar w:fldCharType="end"/>
          </w:r>
          <w:r>
            <w:rPr>
              <w:rFonts w:ascii="arial" w:eastAsia="arial" w:hAnsi="arial" w:cs="arial"/>
              <w:sz w:val="20"/>
            </w:rPr>
            <w:t xml:space="preserve"> of </w:t>
          </w:r>
          <w:r>
            <w:rPr>
              <w:rFonts w:ascii="arial" w:eastAsia="arial" w:hAnsi="arial" w:cs="arial"/>
              <w:sz w:val="20"/>
            </w:rPr>
            <w:fldChar w:fldCharType="begin"/>
          </w:r>
          <w:r>
            <w:rPr>
              <w:rFonts w:ascii="arial" w:eastAsia="arial" w:hAnsi="arial" w:cs="arial"/>
              <w:sz w:val="20"/>
            </w:rPr>
            <w:instrText xml:space="preserve"> NUMPAGES </w:instrText>
          </w:r>
          <w:r>
            <w:rPr>
              <w:rFonts w:ascii="arial" w:eastAsia="arial" w:hAnsi="arial" w:cs="arial"/>
              <w:sz w:val="20"/>
            </w:rPr>
            <w:fldChar w:fldCharType="separate"/>
          </w:r>
          <w:r>
            <w:rPr>
              <w:rFonts w:ascii="arial" w:eastAsia="arial" w:hAnsi="arial" w:cs="arial"/>
              <w:sz w:val="20"/>
            </w:rPr>
            <w:fldChar w:fldCharType="end"/>
          </w:r>
        </w:p>
      </w:tc>
    </w:tr>
    <w:tr>
      <w:tblPrEx>
        <w:tblW w:w="10080" w:type="dxa"/>
        <w:tblLayout w:type="fixed"/>
      </w:tblPrEx>
      <w:tc>
        <w:tcPr>
          <w:tcW w:w="10080" w:type="dxa"/>
        </w:tcPr>
        <w:p>
          <w:pPr>
            <w:spacing w:before="60" w:after="200"/>
            <w:jc w:val="center"/>
          </w:pPr>
          <w:r>
            <w:rPr>
              <w:rFonts w:ascii="arial" w:eastAsia="arial" w:hAnsi="arial" w:cs="arial"/>
              <w:sz w:val="20"/>
            </w:rPr>
            <w:t>Decision of the Standing Committee of the National People's Congress on Amending Eight Laws Including the Construction Law of the People's Republic of China</w:t>
          </w:r>
        </w:p>
      </w:tc>
    </w:tr>
  </w:tbl>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stylePaneFormatFilter w:val="3F01"/>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A77B3E"/>
    <w:rsid w:val="00A77B3E"/>
    <w:rsid w:val="00CA2A55"/>
  </w:rsids>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qFormat/>
    <w:rsid w:val="00EF7B96"/>
    <w:pPr>
      <w:keepNext/>
      <w:spacing w:before="240" w:after="60"/>
      <w:outlineLvl w:val="0"/>
    </w:pPr>
    <w:rPr>
      <w:rFonts w:ascii="Arial" w:hAnsi="Arial" w:cs="Arial"/>
      <w:b/>
      <w:bCs/>
      <w:kern w:val="32"/>
      <w:sz w:val="32"/>
      <w:szCs w:val="3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webSettings" Target="webSettings.xml"/><Relationship Id="rId3" Type="http://schemas.openxmlformats.org/officeDocument/2006/relationships/fontTable" Target="fontTable.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footer" Target="footer2.xml"/><Relationship Id="rId8" Type="http://schemas.openxmlformats.org/officeDocument/2006/relationships/theme" Target="theme/theme1.xml"/><Relationship Id="rId9"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